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AGRICULTURA DE PRECISIÓN Y DECLARA DE ACCESO ABIERTO LOS DATOS AGROCLIMÁTICOS E HIDROMETEOROLÓGICOS PRODUCIDOS POR EL ESTADO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AGRICULTURA DE PRECISIÓN Y DECLARA DE ACCESO ABIERTO LOS DATOS AGROCLIMÁTICOS E HIDROMETEOROLÓGICOS PRODUCIDOS POR EL ESTADO</w:t>
      </w:r>
    </w:p>
    <w:p>
      <w:pPr>
        <w:jc w:val="both"/>
      </w:pPr>
      <w:r>
        <w:rPr>
          <w:b/>
        </w:rPr>
        <w:t>Artículo 1. Objeto</w:t>
        <w:br/>
      </w:r>
      <w:r>
        <w:t>La presente ley tiene por objeto promover la agricultura de precisión y el uso de datos en el sector agrario, estableciendo el acceso abierto a los datos agroclimáticos, hidrometeorológicos y de suelos producidos o financiados por el Estado.</w:t>
      </w:r>
    </w:p>
    <w:p>
      <w:pPr>
        <w:jc w:val="both"/>
      </w:pPr>
      <w:r>
        <w:rPr>
          <w:b/>
        </w:rPr>
        <w:t>Artículo 2. Datos agroclimáticos de alto valor</w:t>
        <w:br/>
      </w:r>
      <w:r>
        <w:t>2.1 Se consideran datos agroclimáticos de alto valor, entre otros: observaciones meteorológicas e hidrológicas, pronósticos y avisos, series históricas, índices de sequía y heladas, mapas de suelos, calendarios de cultivos, información de plagas y datos de disponibilidad hídrica. 2.2 El reglamento establece el inventario inicial y su actualización periódica.</w:t>
      </w:r>
    </w:p>
    <w:p>
      <w:pPr>
        <w:jc w:val="both"/>
      </w:pPr>
      <w:r>
        <w:rPr>
          <w:b/>
        </w:rPr>
        <w:t>Artículo 3. Apertura por defecto</w:t>
        <w:br/>
      </w:r>
      <w:r>
        <w:t>3.1 El SENAMHI, el Instituto Nacional de Innovación Agraria (INIA), la Autoridad Nacional del Agua (ANA), el Servicio Nacional de Sanidad Agraria (SENASA) y el Ministerio de Desarrollo Agrario y Riego publican los datos de alto valor de forma gratuita, en formatos abiertos y legibles por máquina, con metadatos y licencia abierta, en la Plataforma Nacional de Datos Abiertos. 3.2 Los datos de observación de estaciones automáticas se ponen a disposición mediante interfaces de programación de aplicaciones con actualización periódica.</w:t>
      </w:r>
    </w:p>
    <w:p>
      <w:pPr>
        <w:jc w:val="both"/>
      </w:pPr>
      <w:r>
        <w:rPr>
          <w:b/>
        </w:rPr>
        <w:t>Artículo 4. Excepciones</w:t>
        <w:br/>
      </w:r>
      <w:r>
        <w:t>Solo se exceptúan de la publicación los datos cuya reserva esté expresamente establecida por ley, los datos personales protegidos por la Ley 29733 y la información cuya difusión afecte la seguridad nacional, debidamente motivada.</w:t>
      </w:r>
    </w:p>
    <w:p>
      <w:pPr>
        <w:jc w:val="both"/>
      </w:pPr>
      <w:r>
        <w:rPr>
          <w:b/>
        </w:rPr>
        <w:t>Artículo 5. Extensión agraria digital</w:t>
        <w:br/>
      </w:r>
      <w:r>
        <w:t>El Ministerio de Desarrollo Agrario y Riego, en coordinación con los gobiernos regionales, implementa un servicio de extensión agraria digital que difunda alertas agroclimáticas y recomendaciones técnicas a pequeños productores mediante mensajería de texto, radio, aplicaciones y extensionistas, en castellano y lenguas originarias.</w:t>
      </w:r>
    </w:p>
    <w:p>
      <w:pPr>
        <w:jc w:val="both"/>
      </w:pPr>
      <w:r>
        <w:rPr>
          <w:b/>
        </w:rPr>
        <w:t>Artículo 6. Agricultura de precisión</w:t>
        <w:br/>
      </w:r>
      <w:r>
        <w:t>El Ministerio de Desarrollo Agrario y Riego promueve, a través de sus programas existentes, la adopción de tecnologías de agricultura de precisión, como sensores de humedad, riego tecnificado con telemetría, imágenes satelitales y drones, priorizando organizaciones de productores y cooperativas.</w:t>
      </w:r>
    </w:p>
    <w:p>
      <w:pPr>
        <w:jc w:val="both"/>
      </w:pPr>
      <w:r>
        <w:rPr>
          <w:b/>
        </w:rPr>
        <w:t>Artículo 7. Datos generados por productores</w:t>
        <w:br/>
      </w:r>
      <w:r>
        <w:t>Los datos generados por productores agrarios mediante tecnologías digitales son de su titularidad. Los proveedores de servicios agtech informan de manera clara sobre el uso de dichos datos y permiten su portabilidad, sin perjuicio de la Ley 29733.</w:t>
      </w:r>
    </w:p>
    <w:p>
      <w:pPr>
        <w:jc w:val="both"/>
      </w:pPr>
      <w:r>
        <w:rPr>
          <w:b/>
        </w:rPr>
        <w:t>Artículo 8. Colaboración académica</w:t>
        <w:br/>
      </w:r>
      <w:r>
        <w:t>Las entidades del artículo 3 pueden suscribir convenios con universidades e institutos para el desarrollo de modelos de pronóstico, servicios climáticos y aplicaciones de valor agregado basadas en datos abiertos.</w:t>
      </w:r>
    </w:p>
    <w:p>
      <w:pPr>
        <w:jc w:val="both"/>
      </w:pPr>
      <w:r>
        <w:rPr>
          <w:b/>
        </w:rPr>
        <w:t>Artículo 9.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los Ministros de Desarrollo Agrario y Riego y del Ambiente.</w:t>
      </w:r>
    </w:p>
    <w:p>
      <w:pPr>
        <w:jc w:val="both"/>
      </w:pPr>
      <w:r>
        <w:rPr>
          <w:b/>
        </w:rPr>
        <w:t>Segunda. Disposición Complementaria Final</w:t>
        <w:br/>
      </w:r>
      <w:r>
        <w:t>Plazo de apertura. Las entidades del artículo 3 publican el inventario inicial de datos de alto valor en un plazo de ciento ochenta días hábiles desde la entrada en vigor del reglamento.</w:t>
      </w:r>
    </w:p>
    <w:p>
      <w:pPr>
        <w:jc w:val="both"/>
      </w:pPr>
      <w:r>
        <w:rPr>
          <w:b/>
        </w:rPr>
        <w:t>Tercera. Disposición Complementaria Final</w:t>
        <w:br/>
      </w:r>
      <w:r>
        <w:t>Tarifas. A partir de la entrada en vigor de la presente ley, las entidades no pueden cobrar por el acceso a los datos de alto valor publicados conforme al artículo 3, sin perjuicio del cobro por servicios especializados a medida conforme a su TUPA.</w:t>
      </w:r>
    </w:p>
    <w:p>
      <w:r>
        <w:t>Lima, ___ de __________ de 20__</w:t>
      </w:r>
    </w:p>
    <w:p>
      <w:r>
        <w:br w:type="page"/>
      </w:r>
    </w:p>
    <w:p>
      <w:pPr>
        <w:pStyle w:val="Heading1"/>
      </w:pPr>
      <w:r>
        <w:t>EXPOSICIÓN DE MOTIVOS</w:t>
      </w:r>
    </w:p>
    <w:p>
      <w:pPr>
        <w:pStyle w:val="Heading2"/>
      </w:pPr>
      <w:r>
        <w:t>I. Fundamentos y problema</w:t>
      </w:r>
    </w:p>
    <w:p>
      <w:pPr>
        <w:jc w:val="both"/>
      </w:pPr>
      <w:r>
        <w:t>La agricultura familiar es altamente vulnerable a la variabilidad climática, a las heladas, sequías y lluvias intensas asociadas al Fenómeno El Niño. El Estado produce información valiosa para la toma de decisiones agrícolas: el SENAMHI, regido por la Ley 24031, opera redes de estaciones y publica datos hidrometeorológicos; el INIA genera información de suelos y variedades; la Autoridad Nacional del Agua administra datos de recursos hídricos conforme a la Ley 29338. Sin embargo, no existe una obligación legal de que estos datos se publiquen de forma completa, gratuita, en formatos abiertos y mediante interfaces de programación (API), lo que limita su reutilización por universidades, emprendimientos agtech, cooperativas y gobiernos regionales. A su vez, los pequeños productores tienen bajo acceso a servicios de extensión que traduzcan esa información en recomendaciones de siembra, riego y sanidad. El Plan Perú 2050 en Agricultura y Medio Ambiente plantea modernización tecnológica y trazabilidad; la experiencia europea de conjuntos de datos de alto valor muestra que la apertura de datos meteorológicos y de observación de la Tierra genera servicios de valor agregado.</w:t>
      </w:r>
    </w:p>
    <w:p>
      <w:pPr>
        <w:pStyle w:val="Heading2"/>
      </w:pPr>
      <w:r>
        <w:t>II. Objeto</w:t>
      </w:r>
    </w:p>
    <w:p>
      <w:pPr>
        <w:jc w:val="both"/>
      </w:pPr>
      <w:r>
        <w:t>Declarar de acceso abierto los datos agroclimáticos e hidrometeorológicos públicos y promover la agricultura de precisión entre pequeños productores.</w:t>
      </w:r>
    </w:p>
    <w:p>
      <w:pPr>
        <w:pStyle w:val="Heading2"/>
      </w:pPr>
      <w:r>
        <w:t>III. Análisis costo-beneficio</w:t>
      </w:r>
    </w:p>
    <w:p>
      <w:pPr>
        <w:jc w:val="both"/>
      </w:pPr>
      <w:r>
        <w:t>El costo fiscal es bajo: los datos ya se producen; la ley exige publicarlos en formatos abiertos y API, con costos de infraestructura de publicación asumidos por los presupuestos institucionales (art. 79). La eliminación de cobros por datos de alto valor puede reducir ingresos propios marginales de algunas entidades, compensables con el ahorro en atención de solicitudes. Los beneficios son mejores decisiones de siembra y riego, reducción de pérdidas por eventos climáticos, desarrollo de servicios agtech nacionales, mejores seguros agrarios paramétricos e investigación. La extensión digital multicanal amplía la llegada a productores con baja conectividad.</w:t>
      </w:r>
    </w:p>
    <w:p>
      <w:pPr>
        <w:pStyle w:val="Heading2"/>
      </w:pPr>
      <w:r>
        <w:t>IV. Efecto de la vigencia de la norma sobre la legislación nacional</w:t>
      </w:r>
    </w:p>
    <w:p>
      <w:pPr>
        <w:jc w:val="both"/>
      </w:pPr>
      <w:r>
        <w:t>Complementa la Ley 24031 (SENAMHI) y la Ley 29338, Ley de Recursos Hídricos; se articula con la Ley 29733. No deroga normas.</w:t>
      </w:r>
    </w:p>
    <w:p>
      <w:pPr>
        <w:pStyle w:val="Heading2"/>
      </w:pPr>
      <w:r>
        <w:t>V. Antecedentes</w:t>
      </w:r>
    </w:p>
    <w:p>
      <w:pPr>
        <w:jc w:val="both"/>
      </w:pPr>
      <w:r>
        <w:t>Por verificar en SPLEY.</w:t>
      </w:r>
    </w:p>
    <w:p>
      <w:pPr>
        <w:pStyle w:val="Heading2"/>
      </w:pPr>
      <w:r>
        <w:t>VI. Indicador de éxito</w:t>
      </w:r>
    </w:p>
    <w:p>
      <w:pPr>
        <w:jc w:val="both"/>
      </w:pPr>
      <w:r>
        <w:t>A 2031, el 100% de los datos de alto valor inventariados están publicados en formato abierto con API, y el servicio de extensión digital llega a productores en todas las regiones.</w:t>
      </w:r>
    </w:p>
    <w:p>
      <w:pPr>
        <w:pStyle w:val="Heading2"/>
      </w:pPr>
      <w:r>
        <w:t>VII. Vinculación con la Agenda Legislativa y el Plan Perú 2050</w:t>
      </w:r>
    </w:p>
    <w:p>
      <w:r>
        <w:t>Comisiones temáticas del Plan Perú 2050: Agricultura, Desarrollo Rural, Seguridad Alimentaria y Nutrición. ODS: 2, 13, 9.</w:t>
      </w:r>
    </w:p>
    <w:p>
      <w:pPr>
        <w:pStyle w:val="Heading2"/>
      </w:pPr>
      <w:r>
        <w:t>VIII. Referencias</w:t>
      </w:r>
    </w:p>
    <w:p>
      <w:pPr>
        <w:pStyle w:val="ListBullet"/>
      </w:pPr>
      <w:r>
        <w:t>Ley 24031, Ley del Servicio Nacional de Meteorología e Hidrología (SENAMHI) — https://www.leyes.congreso.gob.pe/Documentos/Leyes/24031.pdf</w:t>
      </w:r>
    </w:p>
    <w:p>
      <w:pPr>
        <w:pStyle w:val="ListBullet"/>
      </w:pPr>
      <w:r>
        <w:t>Ley 29338, Ley de Recursos Hídricos — https://www.leyes.congreso.gob.pe/Documentos/Leyes/29338.pdf</w:t>
      </w:r>
    </w:p>
    <w:p>
      <w:pPr>
        <w:pStyle w:val="ListBullet"/>
      </w:pPr>
      <w:r>
        <w:t>Ley 29733, Ley de Protección de Datos Personales — https://www.leyes.congreso.gob.pe/Documentos/Leyes/29733.pdf</w:t>
      </w:r>
    </w:p>
    <w:p>
      <w:pPr>
        <w:pStyle w:val="ListBullet"/>
      </w:pPr>
      <w:r>
        <w:t>Unión Europea: Directiva (UE) 2019/1024 relativa a los datos abiertos y la reutilización de la información del sector público — https://eur-lex.europa.eu/eli/dir/2019/1024/oj</w:t>
      </w:r>
    </w:p>
    <w:p>
      <w:pPr>
        <w:pStyle w:val="ListBullet"/>
      </w:pPr>
      <w:r>
        <w:t>Unión Europea: Reglamento de Ejecución (UE) 2023/138, conjuntos de datos de alto valor (incluye datos meteorológicos y de observación de la Tierra) — https://eur-lex.europa.eu/eli/reg_impl/2023/138/oj</w:t>
      </w:r>
    </w:p>
    <w:p>
      <w:pPr>
        <w:pStyle w:val="ListBullet"/>
      </w:pPr>
      <w:r>
        <w:t>SENAMHI: Datos hidrometeorológicos — https://www.senamhi.gob.pe/?p=datos-hidrometeorologicos</w:t>
      </w:r>
    </w:p>
    <w:p>
      <w:pPr>
        <w:pStyle w:val="ListBullet"/>
      </w:pPr>
      <w:r>
        <w:t>Plataforma Nacional de Datos Abiertos — https://www.datosabiertos.gob.pe/</w:t>
      </w:r>
    </w:p>
    <w:p>
      <w:r>
        <w:t>Fuente: Agenda Legislativa Tech Perú 2026–2031 (https://unimauro.github.io/agenda-legislativa-tech/p/TAL-08.html),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agricultura de precisión y declara de acceso abierto los datos agroclimáticos e hidrometeorológicos producidos por el Estado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