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ECONOMÍA CIRCULAR DE LOS APARATOS ELÉCTRICOS Y ELECTRÓNICOS Y RECONOCE EL DERECHO A LA REPARACIÓN</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ECONOMÍA CIRCULAR DE LOS APARATOS ELÉCTRICOS Y ELECTRÓNICOS Y RECONOCE EL DERECHO A LA REPARACIÓN</w:t>
      </w:r>
    </w:p>
    <w:p>
      <w:pPr>
        <w:jc w:val="both"/>
      </w:pPr>
      <w:r>
        <w:rPr>
          <w:b/>
        </w:rPr>
        <w:t>Artículo 1. Objeto</w:t>
        <w:br/>
      </w:r>
      <w:r>
        <w:t>La presente ley tiene por objeto promover la extensión de la vida útil de los aparatos eléctricos y electrónicos, reconocer el derecho de los consumidores a su reparación y fortalecer la valorización de los residuos de aparatos eléctricos y electrónicos (RAEE).</w:t>
      </w:r>
    </w:p>
    <w:p>
      <w:pPr>
        <w:jc w:val="both"/>
      </w:pPr>
      <w:r>
        <w:rPr>
          <w:b/>
        </w:rPr>
        <w:t>Artículo 2. Ámbito</w:t>
        <w:br/>
      </w:r>
      <w:r>
        <w:t>La presente ley es de aplicación a los productores, importadores, distribuidores y comercializadores de aparatos eléctricos y electrónicos de las categorías que determine el reglamento, priorizando teléfonos móviles, computadoras, tabletas, televisores y electrodomésticos.</w:t>
      </w:r>
    </w:p>
    <w:p>
      <w:pPr>
        <w:jc w:val="both"/>
      </w:pPr>
      <w:r>
        <w:rPr>
          <w:b/>
        </w:rPr>
        <w:t>Artículo 3. Información de reparabilidad</w:t>
        <w:br/>
      </w:r>
      <w:r>
        <w:t>Los productores e importadores informan al consumidor, en el punto de venta y en su página web, como mínimo: a) el periodo durante el cual garantizan la disponibilidad de repuestos; b) el periodo mínimo de actualizaciones de seguridad del software, cuando corresponda; c) la existencia de manuales de reparación; y d) un índice de reparabilidad, conforme a la metodología que apruebe el Ministerio de la Producción en coordinación con el Ministerio del Ambiente.</w:t>
      </w:r>
    </w:p>
    <w:p>
      <w:pPr>
        <w:jc w:val="both"/>
      </w:pPr>
      <w:r>
        <w:rPr>
          <w:b/>
        </w:rPr>
        <w:t>Artículo 4. Disponibilidad de repuestos y manuales</w:t>
        <w:br/>
      </w:r>
      <w:r>
        <w:t>Los productores e importadores ponen a disposición de los talleres de reparación independientes y de los consumidores, en condiciones razonables y no discriminatorias, los repuestos, herramientas especializadas y manuales de reparación durante el periodo informado conforme al artículo 3.</w:t>
      </w:r>
    </w:p>
    <w:p>
      <w:pPr>
        <w:jc w:val="both"/>
      </w:pPr>
      <w:r>
        <w:rPr>
          <w:b/>
        </w:rPr>
        <w:t>Artículo 5. Prácticas prohibidas</w:t>
        <w:br/>
      </w:r>
      <w:r>
        <w:t>Se prohíben las prácticas técnicas o contractuales que tengan por objeto impedir u obstaculizar injustificadamente la reparación por terceros, tales como el bloqueo por software de repuestos originales o compatibles, sin perjuicio de las exigencias de seguridad debidamente justificadas.</w:t>
      </w:r>
    </w:p>
    <w:p>
      <w:pPr>
        <w:jc w:val="both"/>
      </w:pPr>
      <w:r>
        <w:rPr>
          <w:b/>
        </w:rPr>
        <w:t>Artículo 6. Garantía y reparación</w:t>
        <w:br/>
      </w:r>
      <w:r>
        <w:t>La reparación realizada por un taller independiente no anula la garantía legal respecto de los componentes no intervenidos, conforme al Código de Protección y Defensa del Consumidor.</w:t>
      </w:r>
    </w:p>
    <w:p>
      <w:pPr>
        <w:jc w:val="both"/>
      </w:pPr>
      <w:r>
        <w:rPr>
          <w:b/>
        </w:rPr>
        <w:t>Artículo 7. Formación de técnicos reparadores</w:t>
        <w:br/>
      </w:r>
      <w:r>
        <w:t>El Ministerio de Educación promueve, en los centros de educación técnico-productiva e institutos, programas de formación y certificación de técnicos en reparación de equipos electrónicos y en gestión de RAEE, articulados con los sistemas de manejo de RAEE.</w:t>
      </w:r>
    </w:p>
    <w:p>
      <w:pPr>
        <w:jc w:val="both"/>
      </w:pPr>
      <w:r>
        <w:rPr>
          <w:b/>
        </w:rPr>
        <w:t>Artículo 8. Fortalecimiento de la valorización de RAEE</w:t>
        <w:br/>
      </w:r>
      <w:r>
        <w:t>El Ministerio del Ambiente publica anualmente, en formato abierto, las cantidades de RAEE recolectadas y valorizadas por categoría y sistema de manejo, y el cumplimiento de metas establecidas en el régimen especial vigente.</w:t>
      </w:r>
    </w:p>
    <w:p>
      <w:pPr>
        <w:jc w:val="both"/>
      </w:pPr>
      <w:r>
        <w:rPr>
          <w:b/>
        </w:rPr>
        <w:t>Artículo 9. Fiscalización</w:t>
        <w:br/>
      </w:r>
      <w:r>
        <w:t>El Instituto Nacional de Defensa de la Competencia y de la Protección de la Propiedad Intelectual (INDECOPI) fiscaliza las obligaciones de información y las prácticas prohibidas de los artículos 3, 4 y 5. El OEFA y las autoridades competentes fiscalizan las obligaciones de gestión de RAEE conforme a su normativa.</w:t>
      </w:r>
    </w:p>
    <w:p>
      <w:pPr>
        <w:jc w:val="both"/>
      </w:pPr>
      <w:r>
        <w:rPr>
          <w:b/>
        </w:rPr>
        <w:t>Artículo 10.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ciento veinte días hábiles mediante decreto supremo refrendado por los Ministros de la Producción y del Ambiente.</w:t>
      </w:r>
    </w:p>
    <w:p>
      <w:pPr>
        <w:jc w:val="both"/>
      </w:pPr>
      <w:r>
        <w:rPr>
          <w:b/>
        </w:rPr>
        <w:t>Segunda. Disposición Complementaria Final</w:t>
        <w:br/>
      </w:r>
      <w:r>
        <w:t>Gradualidad. Las obligaciones de los artículos 3 y 4 son exigibles a los doce meses de la publicación del reglamento para teléfonos móviles y computadoras, y a los veinticuatro meses para las demás categorías.</w:t>
      </w:r>
    </w:p>
    <w:p>
      <w:pPr>
        <w:jc w:val="both"/>
      </w:pPr>
      <w:r>
        <w:rPr>
          <w:b/>
        </w:rPr>
        <w:t>Tercera. Disposición Complementaria Final</w:t>
        <w:br/>
      </w:r>
      <w:r>
        <w:t>Adecuación del régimen especial. El Ministerio del Ambiente adecúa el Régimen Especial de Gestión y Manejo de RAEE para articularlo con la presente ley.</w:t>
      </w:r>
    </w:p>
    <w:p>
      <w:r>
        <w:t>Lima, ___ de __________ de 20__</w:t>
      </w:r>
    </w:p>
    <w:p>
      <w:r>
        <w:br w:type="page"/>
      </w:r>
    </w:p>
    <w:p>
      <w:pPr>
        <w:pStyle w:val="Heading1"/>
      </w:pPr>
      <w:r>
        <w:t>EXPOSICIÓN DE MOTIVOS</w:t>
      </w:r>
    </w:p>
    <w:p>
      <w:pPr>
        <w:pStyle w:val="Heading2"/>
      </w:pPr>
      <w:r>
        <w:t>I. Fundamentos y problema</w:t>
      </w:r>
    </w:p>
    <w:p>
      <w:pPr>
        <w:jc w:val="both"/>
      </w:pPr>
      <w:r>
        <w:t>Según el Global E-waste Monitor 2024 de la UIT y UNITAR, en 2022 se generaron en el mundo 62 millones de toneladas de residuos electrónicos y solo el 22,3% fue recolectado y reciclado de manera formal documentada; la generación crece casi cinco veces más rápido que el reciclaje documentado. En el Perú, el Decreto Legislativo 1278, Ley de Gestión Integral de Residuos Sólidos, y el Decreto Supremo 009-2019-MINAM, que aprobó el Régimen Especial de Gestión y Manejo de RAEE, establecen la responsabilidad extendida del productor, metas de recolección y obligaciones de distribuidores y comercializadores. Sin embargo, el marco peruano no regula la etapa previa al residuo: no existe obligación de informar al consumidor sobre la reparabilidad del producto, la disponibilidad de repuestos o el periodo de actualizaciones de software, ni se protege la reparación por talleres independientes. El Plan Perú 2050 (Medio Ambiente) diagnostica que menos del 5% de los residuos sólidos aprovechables se reincorpora formalmente a las cadenas productivas y propone una economía circular transaccional. Extender la vida útil de los equipos reduce residuos y gasto de los hogares.</w:t>
      </w:r>
    </w:p>
    <w:p>
      <w:pPr>
        <w:pStyle w:val="Heading2"/>
      </w:pPr>
      <w:r>
        <w:t>II. Objeto</w:t>
      </w:r>
    </w:p>
    <w:p>
      <w:pPr>
        <w:jc w:val="both"/>
      </w:pPr>
      <w:r>
        <w:t>Promover la economía circular de los aparatos eléctricos y electrónicos mediante información de reparabilidad, disponibilidad de repuestos y reparación independiente.</w:t>
      </w:r>
    </w:p>
    <w:p>
      <w:pPr>
        <w:pStyle w:val="Heading2"/>
      </w:pPr>
      <w:r>
        <w:t>III. Análisis costo-beneficio</w:t>
      </w:r>
    </w:p>
    <w:p>
      <w:pPr>
        <w:jc w:val="both"/>
      </w:pPr>
      <w:r>
        <w:t>El costo fiscal es bajo: INDECOPI, PRODUCE y MINAM aplican la ley con presupuestos institucionales (art. 79). Los productores asumen costos de información y de disponibilidad de repuestos, que en mercados como la Unión Europea ya son exigibles, por lo que muchas marcas cuentan con esa infraestructura. Los beneficios incluyen ahorro para los hogares al prolongar la vida útil de los equipos, empleo en talleres de reparación formales, menor generación de RAEE y menor presión sobre rellenos sanitarios, y mejor recuperación de materiales valiosos. La gradualidad por categorías reduce el impacto sobre importadores pequeños.</w:t>
      </w:r>
    </w:p>
    <w:p>
      <w:pPr>
        <w:pStyle w:val="Heading2"/>
      </w:pPr>
      <w:r>
        <w:t>IV. Efecto de la vigencia de la norma sobre la legislación nacional</w:t>
      </w:r>
    </w:p>
    <w:p>
      <w:pPr>
        <w:jc w:val="both"/>
      </w:pPr>
      <w:r>
        <w:t>Complementa el Decreto Legislativo 1278 y el Decreto Supremo 009-2019-MINAM, y la Ley 29571, Código de Protección y Defensa del Consumidor. No deroga normas.</w:t>
      </w:r>
    </w:p>
    <w:p>
      <w:pPr>
        <w:pStyle w:val="Heading2"/>
      </w:pPr>
      <w:r>
        <w:t>V. Antecedentes</w:t>
      </w:r>
    </w:p>
    <w:p>
      <w:pPr>
        <w:jc w:val="both"/>
      </w:pPr>
      <w:r>
        <w:t>Por verificar en SPLEY.</w:t>
      </w:r>
    </w:p>
    <w:p>
      <w:pPr>
        <w:pStyle w:val="Heading2"/>
      </w:pPr>
      <w:r>
        <w:t>VI. Indicador de éxito</w:t>
      </w:r>
    </w:p>
    <w:p>
      <w:pPr>
        <w:jc w:val="both"/>
      </w:pPr>
      <w:r>
        <w:t>A 2031, el 100% de teléfonos móviles y computadoras comercializados informan periodo de repuestos e índice de reparabilidad, y el MINAM publica cinco reportes anuales de RAEE valorizados.</w:t>
      </w:r>
    </w:p>
    <w:p>
      <w:pPr>
        <w:pStyle w:val="Heading2"/>
      </w:pPr>
      <w:r>
        <w:t>VII. Vinculación con la Agenda Legislativa y el Plan Perú 2050</w:t>
      </w:r>
    </w:p>
    <w:p>
      <w:r>
        <w:t>Comisiones temáticas del Plan Perú 2050: Medio Ambiente, Industria. ODS: 12, 8.</w:t>
      </w:r>
    </w:p>
    <w:p>
      <w:pPr>
        <w:pStyle w:val="Heading2"/>
      </w:pPr>
      <w:r>
        <w:t>VIII. Referencias</w:t>
      </w:r>
    </w:p>
    <w:p>
      <w:pPr>
        <w:pStyle w:val="ListBullet"/>
      </w:pPr>
      <w:r>
        <w:t>Decreto Legislativo 1278, Ley de Gestión Integral de Residuos Sólidos (ficha SINIA-MINAM) — https://sinia.minam.gob.pe/normas/ley-gestion-integral-residuos-solidos</w:t>
      </w:r>
    </w:p>
    <w:p>
      <w:pPr>
        <w:pStyle w:val="ListBullet"/>
      </w:pPr>
      <w:r>
        <w:t>Decreto Supremo 009-2019-MINAM, Régimen Especial de Gestión y Manejo de Residuos de Aparatos Eléctricos y Electrónicos (ficha SINIA) — https://sinia.minam.gob.pe/metadatos/314549</w:t>
      </w:r>
    </w:p>
    <w:p>
      <w:pPr>
        <w:pStyle w:val="ListBullet"/>
      </w:pPr>
      <w:r>
        <w:t>Ley 29571, Código de Protección y Defensa del Consumidor — https://www.leyes.congreso.gob.pe/Documentos/Leyes/29571.pdf</w:t>
      </w:r>
    </w:p>
    <w:p>
      <w:pPr>
        <w:pStyle w:val="ListBullet"/>
      </w:pPr>
      <w:r>
        <w:t>Ley 28611, Ley General del Ambiente — https://www.leyes.congreso.gob.pe/Documentos/Leyes/28611.pdf</w:t>
      </w:r>
    </w:p>
    <w:p>
      <w:pPr>
        <w:pStyle w:val="ListBullet"/>
      </w:pPr>
      <w:r>
        <w:t>Unión Europea: Directiva (UE) 2024/1799 por la que se establecen normas comunes para promover la reparación de bienes — https://eur-lex.europa.eu/eli/dir/2024/1799/oj</w:t>
      </w:r>
    </w:p>
    <w:p>
      <w:pPr>
        <w:pStyle w:val="ListBullet"/>
      </w:pPr>
      <w:r>
        <w:t>Unión Europea: Directiva 2012/19/UE sobre residuos de aparatos eléctricos y electrónicos (RAEE) — https://eur-lex.europa.eu/eli/dir/2012/19/oj</w:t>
      </w:r>
    </w:p>
    <w:p>
      <w:pPr>
        <w:pStyle w:val="ListBullet"/>
      </w:pPr>
      <w:r>
        <w:t>UNITAR/UIT: Global E-waste Monitor 2024 (nota de prensa) — https://www.unitar.org/about/news-stories/press/global-e-waste-monitor-2024-electronic-waste-rising-five-times-faster-documented-e-waste-recycling</w:t>
      </w:r>
    </w:p>
    <w:p>
      <w:pPr>
        <w:pStyle w:val="ListBullet"/>
      </w:pPr>
      <w:r>
        <w:t>UIT: The Global E-waste Monitor 2024 — https://www.itu.int/en/ITU-D/Environment/Pages/Publications/The-Global-E-Waste-Monitor-2024.aspx</w:t>
      </w:r>
    </w:p>
    <w:p>
      <w:r>
        <w:t>Fuente: Agenda Legislativa Tech Perú 2026–2031 (https://unimauro.github.io/agenda-legislativa-tech/p/TAL-12.html),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economía circular de los aparatos eléctricos y electrónicos y reconoce el derecho a la reparación</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