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t>PROYECTO DE LEY N.° ____/2026-CR</w:t>
      </w:r>
    </w:p>
    <w:p>
      <w:pPr>
        <w:pStyle w:val="Heading1"/>
      </w:pPr>
      <w:r>
        <w:t>LEY CONTRA LA SUPLANTACIÓN DE IDENTIFICADORES TELEFÓNICOS Y MENSAJES FRAUDULENTOS</w:t>
      </w:r>
    </w:p>
    <w:p>
      <w:r>
        <w:t>El/la congresista que suscribe, ______________________, en ejercicio del derecho de iniciativa legislativa que le confiere el artículo 107 de la Constitución Política del Perú, presenta la siguiente propuesta legislativa:</w:t>
      </w:r>
    </w:p>
    <w:p>
      <w:pPr>
        <w:jc w:val="center"/>
      </w:pPr>
      <w:r>
        <w:rPr>
          <w:b/>
        </w:rPr>
        <w:t>FÓRMULA LEGAL</w:t>
        <w:br/>
      </w:r>
      <w:r>
        <w:t>EL CONGRESO DE LA REPÚBLICA</w:t>
        <w:br/>
        <w:t>Ha dado la Ley siguiente:</w:t>
        <w:br/>
      </w:r>
      <w:r>
        <w:rPr>
          <w:b/>
        </w:rPr>
        <w:t>LEY CONTRA LA SUPLANTACIÓN DE IDENTIFICADORES TELEFÓNICOS Y MENSAJES FRAUDULENTOS</w:t>
      </w:r>
    </w:p>
    <w:p>
      <w:pPr>
        <w:jc w:val="both"/>
      </w:pPr>
      <w:r>
        <w:rPr>
          <w:b/>
        </w:rPr>
        <w:t>Artículo 1. Objeto</w:t>
        <w:br/>
      </w:r>
      <w:r>
        <w:t>La presente ley tiene por objeto prevenir la suplantación de identificadores de llamada y de remitentes de mensajes de texto con fines fraudulentos, mediante obligaciones de autenticación, registro y bloqueo a cargo de los operadores de telecomunicaciones.</w:t>
      </w:r>
    </w:p>
    <w:p>
      <w:pPr>
        <w:jc w:val="both"/>
      </w:pPr>
      <w:r>
        <w:rPr>
          <w:b/>
        </w:rPr>
        <w:t>Artículo 2. Autenticación del identificador de llamada</w:t>
        <w:br/>
      </w:r>
      <w:r>
        <w:t>Los operadores de servicios públicos de telefonía implementan mecanismos técnicos de autenticación del número de origen en las llamadas cursadas por sus redes e interconexiones, conforme a estándares internacionales, y no presentan al usuario como identificador un número no verificado sin advertencia.</w:t>
      </w:r>
    </w:p>
    <w:p>
      <w:pPr>
        <w:jc w:val="both"/>
      </w:pPr>
      <w:r>
        <w:rPr>
          <w:b/>
        </w:rPr>
        <w:t>Artículo 3. Llamadas internacionales con numeración nacional</w:t>
        <w:br/>
      </w:r>
      <w:r>
        <w:t>Los operadores bloquean o marcan como sospechosas las llamadas de origen internacional que presenten numeración nacional, salvo los casos de itinerancia debidamente verificados.</w:t>
      </w:r>
    </w:p>
    <w:p>
      <w:pPr>
        <w:jc w:val="both"/>
      </w:pPr>
      <w:r>
        <w:rPr>
          <w:b/>
        </w:rPr>
        <w:t>Artículo 4. Registro de remitentes alfanuméricos</w:t>
        <w:br/>
      </w:r>
      <w:r>
        <w:t>Créase el Registro de Remitentes de Mensajes, a cargo del OSIPTEL, en el que las organizaciones que envíen mensajes de texto con identificadores alfanuméricos deben inscribirse acreditando su identidad. Los operadores bloquean o etiquetan como no verificados los mensajes con remitentes alfanuméricos no inscritos.</w:t>
      </w:r>
    </w:p>
    <w:p>
      <w:pPr>
        <w:jc w:val="both"/>
      </w:pPr>
      <w:r>
        <w:rPr>
          <w:b/>
        </w:rPr>
        <w:t>Artículo 5. Canal de reporte ciudadano</w:t>
        <w:br/>
      </w:r>
      <w:r>
        <w:t>El OSIPTEL habilita un canal gratuito, accesible por mensaje de texto, web y aplicación, para que los usuarios reporten números y mensajes presuntamente fraudulentos. Los reportes verificados se comparten con los operadores para su bloqueo y con el Ministerio Público y la Policía Nacional del Perú para fines de investigación.</w:t>
      </w:r>
    </w:p>
    <w:p>
      <w:pPr>
        <w:jc w:val="both"/>
      </w:pPr>
      <w:r>
        <w:rPr>
          <w:b/>
        </w:rPr>
        <w:t>Artículo 6. Lista de numeración protegida</w:t>
        <w:br/>
      </w:r>
      <w:r>
        <w:t>Las entidades financieras y las entidades públicas pueden registrar ante el OSIPTEL los números que no utilizan para llamadas salientes; los operadores bloquean las llamadas que presenten dichos números como identificador.</w:t>
      </w:r>
    </w:p>
    <w:p>
      <w:pPr>
        <w:jc w:val="both"/>
      </w:pPr>
      <w:r>
        <w:rPr>
          <w:b/>
        </w:rPr>
        <w:t>Artículo 7. Protección de datos</w:t>
        <w:br/>
      </w:r>
      <w:r>
        <w:t>El tratamiento de datos derivado de la presente ley se sujeta a la Ley 29733, se limita a la finalidad de prevención del fraude y no habilita la interceptación del contenido de las comunicaciones.</w:t>
      </w:r>
    </w:p>
    <w:p>
      <w:pPr>
        <w:jc w:val="both"/>
      </w:pPr>
      <w:r>
        <w:rPr>
          <w:b/>
        </w:rPr>
        <w:t>Artículo 8. Infracciones</w:t>
        <w:br/>
      </w:r>
      <w:r>
        <w:t>El incumplimiento de las obligaciones de la presente ley constituye infracción sancionable por el OSIPTEL conforme a su Reglamento General de Infracciones y Sanciones, que se adecúa en el plazo que fije el reglamento.</w:t>
      </w:r>
    </w:p>
    <w:p>
      <w:pPr>
        <w:jc w:val="both"/>
      </w:pPr>
      <w:r>
        <w:rPr>
          <w:b/>
        </w:rPr>
        <w:t>Primera. Disposición Complementaria Final</w:t>
        <w:br/>
      </w:r>
      <w:r>
        <w:t>Reglamentación. El Poder Ejecutivo, mediante decreto supremo refrendado por el Ministro de Transportes y Comunicaciones, previa opinión del OSIPTEL, reglamenta la presente ley en un plazo no mayor de 90 días hábiles contados desde su entrada en vigencia.</w:t>
      </w:r>
    </w:p>
    <w:p>
      <w:pPr>
        <w:jc w:val="both"/>
      </w:pPr>
      <w:r>
        <w:rPr>
          <w:b/>
        </w:rPr>
        <w:t>Segunda. Disposición Complementaria Final</w:t>
        <w:br/>
      </w:r>
      <w:r>
        <w:t>Implementación gradual. Las obligaciones de los artículos 2 y 3 son exigibles a los 18 meses y las de los artículos 4 a 6 a los 9 meses de la entrada en vigencia del reglamento.</w:t>
      </w:r>
    </w:p>
    <w:p>
      <w:pPr>
        <w:jc w:val="both"/>
      </w:pPr>
      <w:r>
        <w:rPr>
          <w:b/>
        </w:rPr>
        <w:t>Tercera. Disposición Complementaria Final</w:t>
        <w:br/>
      </w:r>
      <w:r>
        <w:t>Coordinación con la Ley 32323. La numeración especial para llamadas comerciales prevista en la normativa de desarrollo de la Ley 32323 se integra a los mecanismos de autenticación de la presente ley.</w:t>
      </w:r>
    </w:p>
    <w:p>
      <w:pPr>
        <w:jc w:val="both"/>
      </w:pPr>
      <w:r>
        <w:rPr>
          <w:b/>
        </w:rPr>
        <w:t>Cuarta. Disposición Complementaria Final</w:t>
        <w:br/>
      </w:r>
      <w:r>
        <w:t>Financiamiento. La implementación de la presente ley se financia con cargo al presupuesto institucional de el OSIPTEL, sin demandar recursos adicionales al Tesoro Público.</w:t>
      </w:r>
    </w:p>
    <w:p>
      <w:r>
        <w:t>Lima, ___ de __________ de 20__</w:t>
      </w:r>
    </w:p>
    <w:p>
      <w:r>
        <w:br w:type="page"/>
      </w:r>
    </w:p>
    <w:p>
      <w:pPr>
        <w:pStyle w:val="Heading1"/>
      </w:pPr>
      <w:r>
        <w:t>EXPOSICIÓN DE MOTIVOS</w:t>
      </w:r>
    </w:p>
    <w:p>
      <w:pPr>
        <w:pStyle w:val="Heading2"/>
      </w:pPr>
      <w:r>
        <w:t>I. Fundamentos y problema</w:t>
      </w:r>
    </w:p>
    <w:p>
      <w:pPr>
        <w:jc w:val="both"/>
      </w:pPr>
      <w:r>
        <w:t>La Ley 32323 (2025) modificó el artículo 58 del Código de Protección y Defensa del Consumidor para prohibir las comunicaciones comerciales no consentidas y encargó normas para identificar llamadas comerciales con numeración especial (CMS Grau). Esa norma enfrenta el spam de empresas formales, pero no la suplantación de identidad telefónica usada por delincuentes: llamadas que muestran números falsos o similares a los de bancos y entidades públicas, y mensajes de texto con remitentes que imitan marcas para robar credenciales. Estas modalidades alimentan el fraude informático y la suplantación de identidad, que concentran más del 92 % de las denuncias por delitos informáticos entre enero y julio de 2026 (El Peruano, 2-9-2026). El Perú no exige legalmente la autenticación del identificador de llamada ni un registro de remitentes alfanuméricos, medidas que Estados Unidos (STIR/SHAKEN) y Singapur han implementado. Tampoco existe un canal ciudadano único para reportar números fraudulentos que alimente bloqueos coordinados entre operadores.</w:t>
      </w:r>
    </w:p>
    <w:p>
      <w:pPr>
        <w:pStyle w:val="Heading2"/>
      </w:pPr>
      <w:r>
        <w:t>II. Objeto</w:t>
      </w:r>
    </w:p>
    <w:p>
      <w:pPr>
        <w:jc w:val="both"/>
      </w:pPr>
      <w:r>
        <w:t>Prevenir la suplantación de identificadores telefónicos y los mensajes fraudulentos mediante autenticación, registro de remitentes y bloqueo coordinado.</w:t>
      </w:r>
    </w:p>
    <w:p>
      <w:pPr>
        <w:pStyle w:val="Heading2"/>
      </w:pPr>
      <w:r>
        <w:t>III. Análisis costo-beneficio</w:t>
      </w:r>
    </w:p>
    <w:p>
      <w:pPr>
        <w:jc w:val="both"/>
      </w:pPr>
      <w:r>
        <w:t>El gasto público es bajo y se financia con el presupuesto del OSIPTEL. Los operadores asumen inversiones en autenticación y filtrado, que en otros mercados se han implementado de manera gradual; por ello se establecen plazos de 9 a 18 meses. El beneficio es la reducción de la superficie de ataque del fraude por ingeniería social, que afecta a usuarios de todos los niveles socioeconómicos y especialmente a adultos mayores. El registro de remitentes también protege la reputación de bancos y entidades públicas suplantadas. No se dispone de cifras oficiales del costo del fraude telefónico en el Perú, lo que el reglamento debe empezar a medir.</w:t>
      </w:r>
    </w:p>
    <w:p>
      <w:pPr>
        <w:pStyle w:val="Heading2"/>
      </w:pPr>
      <w:r>
        <w:t>IV. Efecto de la vigencia de la norma sobre la legislación nacional</w:t>
      </w:r>
    </w:p>
    <w:p>
      <w:pPr>
        <w:jc w:val="both"/>
      </w:pPr>
      <w:r>
        <w:t>Complementa la Ley 32323 y el artículo 58 de la Ley 29571; complementa la Ley 28493 sobre comunicaciones no solicitadas. No modifica la Ley 30096.</w:t>
      </w:r>
    </w:p>
    <w:p>
      <w:pPr>
        <w:pStyle w:val="Heading2"/>
      </w:pPr>
      <w:r>
        <w:t>V. Antecedentes</w:t>
      </w:r>
    </w:p>
    <w:p>
      <w:pPr>
        <w:jc w:val="both"/>
      </w:pPr>
      <w:r>
        <w:t>Por verificar en SPLEY.</w:t>
      </w:r>
    </w:p>
    <w:p>
      <w:pPr>
        <w:pStyle w:val="Heading2"/>
      </w:pPr>
      <w:r>
        <w:t>VI. Indicador de éxito</w:t>
      </w:r>
    </w:p>
    <w:p>
      <w:pPr>
        <w:jc w:val="both"/>
      </w:pPr>
      <w:r>
        <w:t>A 2029, autenticación de identificador implementada por todos los operadores móviles; registro de remitentes operativo y reportes ciudadanos publicados trimestralmente por OSIPTEL.</w:t>
      </w:r>
    </w:p>
    <w:p>
      <w:pPr>
        <w:pStyle w:val="Heading2"/>
      </w:pPr>
      <w:r>
        <w:t>VII. Vinculación con la Agenda Legislativa y el Plan Perú 2050</w:t>
      </w:r>
    </w:p>
    <w:p>
      <w:r>
        <w:t>Comisiones temáticas del Plan Perú 2050: Telecomunicaciones, Ciber Seguridad, Orden Público y Seguridad. ODS: 9, 16.</w:t>
      </w:r>
    </w:p>
    <w:p>
      <w:pPr>
        <w:pStyle w:val="Heading2"/>
      </w:pPr>
      <w:r>
        <w:t>VIII. Referencias</w:t>
      </w:r>
    </w:p>
    <w:p>
      <w:pPr>
        <w:pStyle w:val="ListBullet"/>
      </w:pPr>
      <w:r>
        <w:t>Ley 32323, que modifica el artículo 58 del Código de Protección y Defensa del Consumidor (comunicaciones comerciales no solicitadas) — https://img.lpderecho.pe/wp-content/uploads/2025/05/LEY-32323-LpDrecho.pdf</w:t>
      </w:r>
    </w:p>
    <w:p>
      <w:pPr>
        <w:pStyle w:val="ListBullet"/>
      </w:pPr>
      <w:r>
        <w:t>Ley 29571, Código de Protección y Defensa del Consumidor — https://www.leyes.congreso.gob.pe/Documentos/Leyes/29571.pdf</w:t>
      </w:r>
    </w:p>
    <w:p>
      <w:pPr>
        <w:pStyle w:val="ListBullet"/>
      </w:pPr>
      <w:r>
        <w:t>Ley 28493, Ley que regula el uso del correo electrónico comercial no solicitado — https://www.leyes.congreso.gob.pe/Documentos/Leyes/28493.pdf</w:t>
      </w:r>
    </w:p>
    <w:p>
      <w:pPr>
        <w:pStyle w:val="ListBullet"/>
      </w:pPr>
      <w:r>
        <w:t>Ley 29733, Ley de Protección de Datos Personales — https://www.leyes.congreso.gob.pe/Documentos/Leyes/29733.pdf</w:t>
      </w:r>
    </w:p>
    <w:p>
      <w:pPr>
        <w:pStyle w:val="ListBullet"/>
      </w:pPr>
      <w:r>
        <w:t>Decreto Legislativo 1338, que crea el Registro Nacional de Equipos Terminales Móviles para la Seguridad (RENTESEG) — https://www.osiptel.gob.pe/media/2auoulvc/dl-1338.pdf</w:t>
      </w:r>
    </w:p>
    <w:p>
      <w:pPr>
        <w:pStyle w:val="ListBullet"/>
      </w:pPr>
      <w:r>
        <w:t>Estados Unidos: FCC: autenticación de identificador de llamada STIR/SHAKEN contra llamadas suplantadas — https://www.fcc.gov/call-authentication</w:t>
      </w:r>
    </w:p>
    <w:p>
      <w:pPr>
        <w:pStyle w:val="ListBullet"/>
      </w:pPr>
      <w:r>
        <w:t>Singapur: Shared Responsibility Framework for Phishing Scams (MAS e IMDA) — https://www.mas.gov.sg/news/media-releases/2023/mas-and-imda-consult-on-shared-responsibility-framework-for-phishing-scams</w:t>
      </w:r>
    </w:p>
    <w:p>
      <w:pPr>
        <w:pStyle w:val="ListBullet"/>
      </w:pPr>
      <w:r>
        <w:t>Australia: Scams Prevention Framework Act 2025 — https://www.legislation.gov.au/C2025A00015</w:t>
      </w:r>
    </w:p>
    <w:p>
      <w:pPr>
        <w:pStyle w:val="ListBullet"/>
      </w:pPr>
      <w:r>
        <w:t>CMS Grau: Promulgan ley contra llamadas y mensajes spam (Ley 32323) — https://cms.law/en/per/publication/promulgan-ley-contra-llamadas-y-mensajes-spam</w:t>
      </w:r>
    </w:p>
    <w:p>
      <w:pPr>
        <w:pStyle w:val="ListBullet"/>
      </w:pPr>
      <w:r>
        <w:t>El Peruano (02-09-2026): Ciberdelitos más denunciados en el Perú — 29 118 denuncias ene-jul 2026 según el Ministerio Público — https://elperuano.pe/noticia/303867-ciberdelitos-mas-denunciados-en-el-peru</w:t>
      </w:r>
    </w:p>
    <w:p>
      <w:pPr>
        <w:pStyle w:val="ListBullet"/>
      </w:pPr>
      <w:r>
        <w:t>gob.pe: OSIPTEL — https://www.gob.pe/osiptel</w:t>
      </w:r>
    </w:p>
    <w:p>
      <w:r>
        <w:t>Fuente: Agenda Legislativa Tech Perú 2026–2031 (https://unimauro.github.io/agenda-legislativa-tech/p/CIB-06.html), propuesta ciudadana CC BY 4.0.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Ley contra la suplantación de identificadores telefónicos y mensajes fraudulentos</dc:title>
  <dc:subject/>
  <dc:creator>Agenda Legislativa Tech Perú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