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DE LA IDENTIDAD DIGITAL NACIONAL Y DE LA BILLETERA DE IDENTIDAD DIGITAL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DE LA IDENTIDAD DIGITAL NACIONAL Y DE LA BILLETERA DE IDENTIDAD DIGITAL</w:t>
      </w:r>
    </w:p>
    <w:p>
      <w:pPr>
        <w:jc w:val="both"/>
      </w:pPr>
      <w:r>
        <w:rPr>
          <w:b/>
        </w:rPr>
        <w:t>Artículo 1. Objeto</w:t>
        <w:br/>
      </w:r>
      <w:r>
        <w:t>La presente ley tiene por objeto garantizar a toda persona identificada por el RENIEC el acceso gratuito a una identidad digital segura y crear la billetera de identidad digital, a fin de prevenir la suplantación de identidad y facilitar transacciones seguras.</w:t>
      </w:r>
    </w:p>
    <w:p>
      <w:pPr>
        <w:jc w:val="both"/>
      </w:pPr>
      <w:r>
        <w:rPr>
          <w:b/>
        </w:rPr>
        <w:t>Artículo 2. Derecho a la identidad digital</w:t>
        <w:br/>
      </w:r>
      <w:r>
        <w:t>Toda persona mayor de edad identificada por el RENIEC tiene derecho a obtener gratuitamente una credencial de identidad digital vinculada a su Documento Nacional de Identidad, de uso voluntario, que puede almacenarse en un dispositivo móvil o en el DNI electrónico.</w:t>
      </w:r>
    </w:p>
    <w:p>
      <w:pPr>
        <w:jc w:val="both"/>
      </w:pPr>
      <w:r>
        <w:rPr>
          <w:b/>
        </w:rPr>
        <w:t>Artículo 3. Billetera de identidad digital</w:t>
        <w:br/>
      </w:r>
      <w:r>
        <w:t>El RENIEC, en coordinación con la Presidencia del Consejo de Ministros, implementa la billetera de identidad digital, aplicación que permite al titular almacenar su credencial de identidad y otras credenciales verificables emitidas por entidades públicas o privadas autorizadas, y presentarlas en línea o de forma presencial.</w:t>
      </w:r>
    </w:p>
    <w:p>
      <w:pPr>
        <w:jc w:val="both"/>
      </w:pPr>
      <w:r>
        <w:rPr>
          <w:b/>
        </w:rPr>
        <w:t>Artículo 4. Mínima divulgación</w:t>
        <w:br/>
      </w:r>
      <w:r>
        <w:t>La billetera permite al titular compartir únicamente los atributos necesarios para cada transacción, incluida la verificación de mayoría de edad sin revelar otros datos. Los verificadores no pueden exigir más atributos de los estrictamente necesarios para la finalidad declarada.</w:t>
      </w:r>
    </w:p>
    <w:p>
      <w:pPr>
        <w:jc w:val="both"/>
      </w:pPr>
      <w:r>
        <w:rPr>
          <w:b/>
        </w:rPr>
        <w:t>Artículo 5. Niveles de garantía</w:t>
        <w:br/>
      </w:r>
      <w:r>
        <w:t>La credencial de identidad digital se emite en los niveles de garantía que establezca el reglamento, en concordancia con los niveles de confianza de autenticación del Decreto Supremo 126-2025-PCM. El nivel alto exige verificación biométrica presencial o remota con detección de vida.</w:t>
      </w:r>
    </w:p>
    <w:p>
      <w:pPr>
        <w:jc w:val="both"/>
      </w:pPr>
      <w:r>
        <w:rPr>
          <w:b/>
        </w:rPr>
        <w:t>Artículo 6. Prohibición de copias del DNI</w:t>
        <w:br/>
      </w:r>
      <w:r>
        <w:t>Cuando el ciudadano se identifique con la credencial de identidad digital de nivel de garantía adecuado, las entidades públicas y privadas no pueden exigirle fotocopia, fotografía ni escaneo de su DNI, salvo mandato legal expreso.</w:t>
      </w:r>
    </w:p>
    <w:p>
      <w:pPr>
        <w:jc w:val="both"/>
      </w:pPr>
      <w:r>
        <w:rPr>
          <w:b/>
        </w:rPr>
        <w:t>Artículo 7. Seguridad y privacidad</w:t>
        <w:br/>
      </w:r>
      <w:r>
        <w:t>La billetera no registra de manera centralizada los lugares ni las transacciones en que se usa la credencial. Su código fuente es auditado por terceros independientes y sus componentes críticos se publican para revisión pública, sin comprometer la seguridad.</w:t>
      </w:r>
    </w:p>
    <w:p>
      <w:pPr>
        <w:jc w:val="both"/>
      </w:pPr>
      <w:r>
        <w:rPr>
          <w:b/>
        </w:rPr>
        <w:t>Artículo 8. Revocación y pérdida</w:t>
        <w:br/>
      </w:r>
      <w:r>
        <w:t>El titular puede suspender o revocar su credencial de manera inmediata ante pérdida o robo del dispositivo, a través de canales digitales o presenciales del RENIEC disponibles las 24 horas.</w:t>
      </w:r>
    </w:p>
    <w:p>
      <w:pPr>
        <w:jc w:val="both"/>
      </w:pPr>
      <w:r>
        <w:rPr>
          <w:b/>
        </w:rPr>
        <w:t>Artículo 9. Aceptación obligatoria</w:t>
        <w:br/>
      </w:r>
      <w:r>
        <w:t>Las entidades públicas y las empresas supervisadas por la Superintendencia de Banca, Seguros y AFP y por el OSIPTEL aceptan la credencial de identidad digital para la identificación de usuarios en los canales digitales y presenciales, conforme al cronograma del reglamento.</w:t>
      </w:r>
    </w:p>
    <w:p>
      <w:pPr>
        <w:jc w:val="both"/>
      </w:pPr>
      <w:r>
        <w:rPr>
          <w:b/>
        </w:rPr>
        <w:t>Primera. Disposición Complementaria Final</w:t>
        <w:br/>
      </w:r>
      <w:r>
        <w:t>Reglamentación. El Poder Ejecutivo, mediante decreto supremo refrendado por el Presidente del Consejo de Ministros, previa propuesta del RENIEC, reglamenta la presente ley en un plazo no mayor de 120 días hábiles contados desde su entrada en vigencia.</w:t>
      </w:r>
    </w:p>
    <w:p>
      <w:pPr>
        <w:jc w:val="both"/>
      </w:pPr>
      <w:r>
        <w:rPr>
          <w:b/>
        </w:rPr>
        <w:t>Segunda. Disposición Complementaria Final</w:t>
        <w:br/>
      </w:r>
      <w:r>
        <w:t>Implementación. La billetera de identidad digital se encuentra disponible para la ciudadanía en un plazo no mayor de 24 meses desde la entrada en vigencia del reglamento.</w:t>
      </w:r>
    </w:p>
    <w:p>
      <w:pPr>
        <w:jc w:val="both"/>
      </w:pPr>
      <w:r>
        <w:rPr>
          <w:b/>
        </w:rPr>
        <w:t>Tercera. Disposición Complementaria Final</w:t>
        <w:br/>
      </w:r>
      <w:r>
        <w:t>Financiamiento. La implementación se financia con cargo al presupuesto institucional del RENIEC y de la Presidencia del Consejo de Ministros, pudiendo recurrir a operaciones de endeudamiento o cooperación internacional conforme a la normativa vigente.</w:t>
      </w:r>
    </w:p>
    <w:p>
      <w:r>
        <w:t>Lima, ___ de __________ de 20__</w:t>
      </w:r>
    </w:p>
    <w:p>
      <w:r>
        <w:br w:type="page"/>
      </w:r>
    </w:p>
    <w:p>
      <w:pPr>
        <w:pStyle w:val="Heading1"/>
      </w:pPr>
      <w:r>
        <w:t>EXPOSICIÓN DE MOTIVOS</w:t>
      </w:r>
    </w:p>
    <w:p>
      <w:pPr>
        <w:pStyle w:val="Heading2"/>
      </w:pPr>
      <w:r>
        <w:t>I. Fundamentos y problema</w:t>
      </w:r>
    </w:p>
    <w:p>
      <w:pPr>
        <w:jc w:val="both"/>
      </w:pPr>
      <w:r>
        <w:t>La suplantación de identidad es el segundo delito informático más denunciado: 7 431 denuncias entre enero y julio de 2026 (El Peruano, 2-9-2026). Gran parte de los fraudes se apoya en fotocopias o fotografías del DNI que circulan sin control y en procesos de verificación débiles. El RENIEC emite el DNI electrónico, que incorpora certificados digitales; al 30 de junio de 2026 contaban con él 9 332 713 personas (Panamericana, con datos del RENIEC), una fracción de los más de 37 millones de identificados. El Decreto Legislativo 1412 define la identidad digital y el Decreto Supremo 126-2025-PCM establece tres niveles de confianza en la autenticación, pero no existe una ley que garantice una credencial digital gratuita en el teléfono, que permita compartir solo los datos necesarios (por ejemplo, ser mayor de edad sin revelar la fecha de nacimiento) ni que prohíba a terceros exigir copias del documento. La Unión Europea aprobó en 2024 la cartera europea de identidad digital (eIDAS 2) y Estonia sostiene su gobierno digital en una identidad electrónica universal. Esta propuesta se centra en la identidad como medida de seguridad, sin regular la interoperabilidad de servicios públicos.</w:t>
      </w:r>
    </w:p>
    <w:p>
      <w:pPr>
        <w:pStyle w:val="Heading2"/>
      </w:pPr>
      <w:r>
        <w:t>II. Objeto</w:t>
      </w:r>
    </w:p>
    <w:p>
      <w:pPr>
        <w:jc w:val="both"/>
      </w:pPr>
      <w:r>
        <w:t>Garantizar una identidad digital gratuita, segura y de mínima divulgación, y crear la billetera de identidad digital.</w:t>
      </w:r>
    </w:p>
    <w:p>
      <w:pPr>
        <w:pStyle w:val="Heading2"/>
      </w:pPr>
      <w:r>
        <w:t>III. Análisis costo-beneficio</w:t>
      </w:r>
    </w:p>
    <w:p>
      <w:pPr>
        <w:jc w:val="both"/>
      </w:pPr>
      <w:r>
        <w:t>Genera gasto público medio para el RENIEC (desarrollo, auditorías, emisión gratuita), compensado en parte por la reducción de costos de verificación en el Estado y el sector privado y por la menor demanda de documentos físicos. El beneficio principal es la prevención de la suplantación de identidad, segundo delito informático más denunciado, al reemplazar fotocopias por credenciales verificables criptográficamente. La mínima divulgación protege la privacidad y facilita la verificación de edad proporcional. Riesgos: brecha digital (se mantiene el uso voluntario y alternativas presenciales) y concentración de riesgo técnico (mitigado con auditorías y arquitectura descentralizada).</w:t>
      </w:r>
    </w:p>
    <w:p>
      <w:pPr>
        <w:pStyle w:val="Heading2"/>
      </w:pPr>
      <w:r>
        <w:t>IV. Efecto de la vigencia de la norma sobre la legislación nacional</w:t>
      </w:r>
    </w:p>
    <w:p>
      <w:pPr>
        <w:jc w:val="both"/>
      </w:pPr>
      <w:r>
        <w:t>Complementa la Ley 26497, la Ley 27269, el Decreto Legislativo 1412 y el Decreto Supremo 126-2025-PCM; no modifica el régimen del DNI físico.</w:t>
      </w:r>
    </w:p>
    <w:p>
      <w:pPr>
        <w:pStyle w:val="Heading2"/>
      </w:pPr>
      <w:r>
        <w:t>V. Antecedentes</w:t>
      </w:r>
    </w:p>
    <w:p>
      <w:pPr>
        <w:jc w:val="both"/>
      </w:pPr>
      <w:r>
        <w:t>Por verificar en SPLEY.</w:t>
      </w:r>
    </w:p>
    <w:p>
      <w:pPr>
        <w:pStyle w:val="Heading2"/>
      </w:pPr>
      <w:r>
        <w:t>VI. Indicador de éxito</w:t>
      </w:r>
    </w:p>
    <w:p>
      <w:pPr>
        <w:jc w:val="both"/>
      </w:pPr>
      <w:r>
        <w:t>A 2031, al menos 10 millones de credenciales de identidad digital activas en la billetera y 100 % de entidades financieras aceptándola en canales digitales.</w:t>
      </w:r>
    </w:p>
    <w:p>
      <w:pPr>
        <w:pStyle w:val="Heading2"/>
      </w:pPr>
      <w:r>
        <w:t>VII. Vinculación con la Agenda Legislativa y el Plan Perú 2050</w:t>
      </w:r>
    </w:p>
    <w:p>
      <w:r>
        <w:t>Comisiones temáticas del Plan Perú 2050: Ciber Seguridad, Transformación Digital, Perú en La Era Digital. ODS: 16, 9, 10.</w:t>
      </w:r>
    </w:p>
    <w:p>
      <w:pPr>
        <w:pStyle w:val="Heading2"/>
      </w:pPr>
      <w:r>
        <w:t>VIII. Referencias</w:t>
      </w:r>
    </w:p>
    <w:p>
      <w:pPr>
        <w:pStyle w:val="ListBullet"/>
      </w:pPr>
      <w:r>
        <w:t>Ley 26497, Ley Orgánica del Registro Nacional de Identificación y Estado Civil — https://www.leyes.congreso.gob.pe/Documentos/Leyes/26497.pdf</w:t>
      </w:r>
    </w:p>
    <w:p>
      <w:pPr>
        <w:pStyle w:val="ListBullet"/>
      </w:pPr>
      <w:r>
        <w:t>Ley 27269, Ley de Firmas y Certificados Digitales — https://www.leyes.congreso.gob.pe/Documentos/Leyes/27269.pdf</w:t>
      </w:r>
    </w:p>
    <w:p>
      <w:pPr>
        <w:pStyle w:val="ListBullet"/>
      </w:pPr>
      <w:r>
        <w:t>Decreto Legislativo 1412, Ley de Gobierno Digital — https://busquedas.elperuano.pe/normaslegales/decreto-legislativo-que-aprueba-la-ley-de-gobierno-digital-decreto-legislativo-n-1412-1691026-1</w:t>
      </w:r>
    </w:p>
    <w:p>
      <w:pPr>
        <w:pStyle w:val="ListBullet"/>
      </w:pPr>
      <w:r>
        <w:t>Decreto Supremo 126-2025-PCM, Reglamento del Decreto de Urgencia 007-2020 (Marco de Confianza Digital) — https://busquedas.elperuano.pe/dispositivo/EX/2455024-1</w:t>
      </w:r>
    </w:p>
    <w:p>
      <w:pPr>
        <w:pStyle w:val="ListBullet"/>
      </w:pPr>
      <w:r>
        <w:t>Ley 29733, Ley de Protección de Datos Personales — https://www.leyes.congreso.gob.pe/Documentos/Leyes/29733.pdf</w:t>
      </w:r>
    </w:p>
    <w:p>
      <w:pPr>
        <w:pStyle w:val="ListBullet"/>
      </w:pPr>
      <w:r>
        <w:t>Unión Europea: Reglamento (UE) 2024/1183 (eIDAS 2), Marco Europeo de Identidad Digital y cartera de identidad digital — https://eur-lex.europa.eu/eli/reg/2024/1183/oj</w:t>
      </w:r>
    </w:p>
    <w:p>
      <w:pPr>
        <w:pStyle w:val="ListBullet"/>
      </w:pPr>
      <w:r>
        <w:t>Estonia: Tarjeta de identidad electrónica y firma digital nacional (e-Estonia) — https://e-estonia.com/solutions/e-identity/id-card/</w:t>
      </w:r>
    </w:p>
    <w:p>
      <w:pPr>
        <w:pStyle w:val="ListBullet"/>
      </w:pPr>
      <w:r>
        <w:t>Panamericana: RENIEC — 9 332 713 personas con DNI electrónico al 30-06-2026 — https://panamericana.pe/nacionales/471197-reniec-37-292-920-peruanos-identificados-representa-99-2-poblacion-nacional/amp</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gob.pe: Registro Nacional de Identificación y Estado Civil — https://www.gob.pe/reniec</w:t>
      </w:r>
    </w:p>
    <w:p>
      <w:pPr>
        <w:pStyle w:val="ListBullet"/>
      </w:pPr>
      <w:r>
        <w:t>EY Perú: Reglamento del Marco de Confianza Digital (DS 126-2025-PCM) — https://www.ey.com/es_pe/technical/tax-alert/reglamento-ley-marco-confianza-digital-medidas-fortalecimiento</w:t>
      </w:r>
    </w:p>
    <w:p>
      <w:r>
        <w:t>Fuente: Agenda Legislativa Tech Perú 2026–2031 (https://unimauro.github.io/agenda-legislativa-tech/p/CIB-08.html),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de la Identidad Digital Nacional y de la Billetera de Identidad Digital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