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CIBERRESILIENCIA DE LAS MIPYMES, REGULA LA TRANSPARENCIA DE LOS SEGUROS DE RIESGO CIBERNÉTICO Y ESTABLECE EL REPORTE OBLIGATORIO DE PAGOS POR EXTORSIÓN INFORMÁTICA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CIBERRESILIENCIA DE LAS MIPYMES, REGULA LA TRANSPARENCIA DE LOS SEGUROS DE RIESGO CIBERNÉTICO Y ESTABLECE EL REPORTE OBLIGATORIO DE PAGOS POR EXTORSIÓN INFORMÁTICA</w:t>
      </w:r>
    </w:p>
    <w:p>
      <w:pPr>
        <w:jc w:val="both"/>
      </w:pPr>
      <w:r>
        <w:rPr>
          <w:b/>
        </w:rPr>
        <w:t>Artículo 1. Objeto</w:t>
        <w:br/>
      </w:r>
      <w:r>
        <w:t>La presente ley tiene por objeto promover la ciberresiliencia de las micro, pequeñas y medianas empresas, establecer reglas de transparencia para los seguros de riesgo cibernético y crear la obligación de reportar los pagos efectuados por extorsión informática.</w:t>
      </w:r>
    </w:p>
    <w:p>
      <w:pPr>
        <w:jc w:val="both"/>
      </w:pPr>
      <w:r>
        <w:rPr>
          <w:b/>
        </w:rPr>
        <w:t>Artículo 2. Programa de ciberresiliencia mipyme</w:t>
        <w:br/>
      </w:r>
      <w:r>
        <w:t>El Ministerio de la Producción, en coordinación con el Centro Nacional de Seguridad Digital, implementa un programa gratuito de autodiagnóstico en línea, guías de controles básicos (copias de seguridad, autenticación multifactor, actualizaciones y gestión de accesos) y capacitación para mipymes, a través de los Centros de Desarrollo Empresarial y plataformas digitales.</w:t>
      </w:r>
    </w:p>
    <w:p>
      <w:pPr>
        <w:jc w:val="both"/>
      </w:pPr>
      <w:r>
        <w:rPr>
          <w:b/>
        </w:rPr>
        <w:t>Artículo 3. Sello de controles básicos</w:t>
        <w:br/>
      </w:r>
      <w:r>
        <w:t>Las mipymes que acrediten la implementación de los controles básicos mediante el autodiagnóstico verificado pueden obtener un sello de ciberresiliencia, que las entidades públicas consideran como factor de evaluación en las contrataciones que impliquen tratamiento de datos, conforme a la normativa de contrataciones del Estado.</w:t>
      </w:r>
    </w:p>
    <w:p>
      <w:pPr>
        <w:jc w:val="both"/>
      </w:pPr>
      <w:r>
        <w:rPr>
          <w:b/>
        </w:rPr>
        <w:t>Artículo 4. Transparencia de seguros de riesgo cibernético</w:t>
        <w:br/>
      </w:r>
      <w:r>
        <w:t>Las empresas de seguros que comercialicen coberturas de riesgo cibernético entregan al contratante un resumen estandarizado de máximo dos páginas que detalle coberturas, exclusiones, deducibles, obligaciones de seguridad exigidas al asegurado y procedimiento ante siniestros, conforme al formato que apruebe la Superintendencia de Banca, Seguros y AFP.</w:t>
      </w:r>
    </w:p>
    <w:p>
      <w:pPr>
        <w:jc w:val="both"/>
      </w:pPr>
      <w:r>
        <w:rPr>
          <w:b/>
        </w:rPr>
        <w:t>Artículo 5. Exclusiones</w:t>
        <w:br/>
      </w:r>
      <w:r>
        <w:t>Las exclusiones por falta de medidas de seguridad solo son oponibles si la medida exigida fue expresamente detallada en el resumen estandarizado y guarda relación causal con el siniestro.</w:t>
      </w:r>
    </w:p>
    <w:p>
      <w:pPr>
        <w:jc w:val="both"/>
      </w:pPr>
      <w:r>
        <w:rPr>
          <w:b/>
        </w:rPr>
        <w:t>Artículo 6. Reporte de pagos por extorsión informática</w:t>
        <w:br/>
      </w:r>
      <w:r>
        <w:t>Las personas jurídicas con ingresos anuales superiores al umbral que fije el reglamento, las entidades públicas y los operadores de servicios esenciales que efectúen, directamente o a través de terceros, un pago o transferencia de valor en respuesta a una extorsión informática, lo reportan al Centro Nacional de Seguridad Digital dentro de las 72 horas siguientes, indicando monto, medio de pago y datos del extorsionador disponibles.</w:t>
      </w:r>
    </w:p>
    <w:p>
      <w:pPr>
        <w:jc w:val="both"/>
      </w:pPr>
      <w:r>
        <w:rPr>
          <w:b/>
        </w:rPr>
        <w:t>Artículo 7. Confidencialidad del reporte</w:t>
        <w:br/>
      </w:r>
      <w:r>
        <w:t>La información reportada es confidencial, se utiliza con fines de inteligencia de amenazas, estadística y apoyo a la investigación penal, y se comparte con el Ministerio Público y la Unidad de Inteligencia Financiera. El reporte no constituye por sí mismo prueba de infracción del reportante.</w:t>
      </w:r>
    </w:p>
    <w:p>
      <w:pPr>
        <w:jc w:val="both"/>
      </w:pPr>
      <w:r>
        <w:rPr>
          <w:b/>
        </w:rPr>
        <w:t>Artículo 8. Prohibición de pago con fondos públicos</w:t>
        <w:br/>
      </w:r>
      <w:r>
        <w:t>Las entidades de la administración pública no pueden pagar rescates por extorsión informática con fondos públicos.</w:t>
      </w:r>
    </w:p>
    <w:p>
      <w:pPr>
        <w:jc w:val="both"/>
      </w:pPr>
      <w:r>
        <w:rPr>
          <w:b/>
        </w:rPr>
        <w:t>Artículo 9. Estadística pública</w:t>
        <w:br/>
      </w:r>
      <w:r>
        <w:t>El Centro Nacional de Seguridad Digital publica anualmente estadísticas agregadas y anonimizadas de pagos reportados, y la Superintendencia de Banca, Seguros y AFP publica la evolución de primas y siniestros del ramo de riesgo cibernético.</w:t>
      </w:r>
    </w:p>
    <w:p>
      <w:pPr>
        <w:jc w:val="both"/>
      </w:pPr>
      <w:r>
        <w:rPr>
          <w:b/>
        </w:rPr>
        <w:t>Primera. Disposición Complementaria Final</w:t>
        <w:br/>
      </w:r>
      <w:r>
        <w:t>Reglamentación. El Poder Ejecutivo, mediante decreto supremo refrendado por el Ministro de la Producción, el Ministro de Economía y Finanzas y el Presidente del Consejo de Ministros, previa opinión de la Superintendencia de Banca, Seguros y AFP, reglamenta la presente ley en un plazo no mayor de 120 días hábiles contados desde su entrada en vigencia.</w:t>
      </w:r>
    </w:p>
    <w:p>
      <w:pPr>
        <w:jc w:val="both"/>
      </w:pPr>
      <w:r>
        <w:rPr>
          <w:b/>
        </w:rPr>
        <w:t>Segunda. Disposición Complementaria Final</w:t>
        <w:br/>
      </w:r>
      <w:r>
        <w:t>Vigencia diferida. La obligación del artículo 6 es exigible a los 6 meses y la del artículo 4 a los 12 meses de la publicación del reglamento.</w:t>
      </w:r>
    </w:p>
    <w:p>
      <w:pPr>
        <w:jc w:val="both"/>
      </w:pPr>
      <w:r>
        <w:rPr>
          <w:b/>
        </w:rPr>
        <w:t>Tercera. Disposición Complementaria Final</w:t>
        <w:br/>
      </w:r>
      <w:r>
        <w:t>Financiamiento. La implementación de la presente ley se financia con cargo al presupuesto institucional de el Ministerio de la Producción y la Presidencia del Consejo de Ministros,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Las micro y pequeñas empresas son blanco frecuente de fraude y ransomware, pero rara vez cuentan con personal o presupuesto de ciberseguridad. El mercado de seguros de riesgo cibernético en el Perú es incipiente y sus pólizas suelen contener exclusiones complejas (guerra, actos de Estado, falta de parches) que el asegurado pyme no comprende, lo que genera disputas al momento del siniestro; la Ley 29946 del Contrato de Seguro establece reglas generales de transparencia, pero no estándares específicos para este ramo. Además, el país no tiene información sobre cuántas organizaciones pagan rescates ni cuánto: el Decreto Supremo 126-2025-PCM regula la notificación de incidentes críticos, no los pagos de extorsión, lo que impide dimensionar el financiamiento que reciben las bandas criminales y orientar la persecución. Australia estableció en su Cyber Security Act 2024 el reporte obligatorio de pagos de ransomware en 72 horas para empresas por encima de un umbral de facturación. No se dispone de cifras oficiales peruanas de pagos de rescate ni de penetración del ciberseguro, carencia que esta ley busca corregir.</w:t>
      </w:r>
    </w:p>
    <w:p>
      <w:pPr>
        <w:pStyle w:val="Heading2"/>
      </w:pPr>
      <w:r>
        <w:t>II. Objeto</w:t>
      </w:r>
    </w:p>
    <w:p>
      <w:pPr>
        <w:jc w:val="both"/>
      </w:pPr>
      <w:r>
        <w:t>Promover la ciberresiliencia de las mipymes, la transparencia de los ciberseguros y el reporte de pagos por extorsión informática.</w:t>
      </w:r>
    </w:p>
    <w:p>
      <w:pPr>
        <w:pStyle w:val="Heading2"/>
      </w:pPr>
      <w:r>
        <w:t>III. Análisis costo-beneficio</w:t>
      </w:r>
    </w:p>
    <w:p>
      <w:pPr>
        <w:jc w:val="both"/>
      </w:pPr>
      <w:r>
        <w:t>Costo fiscal bajo: el programa mipyme se apoya en los Centros de Desarrollo Empresarial y plataformas existentes; la SBS regula el resumen estandarizado dentro de sus funciones. Para las aseguradoras, el costo es documental. El reporte de pagos impone una carga mínima a empresas medianas y grandes y genera información inédita para dimensionar el financiamiento criminal y orientar la persecución penal. La prohibición de pagar rescates con fondos públicos evita incentivar ataques contra el Estado, aunque puede elevar el costo de recuperación si no existen respaldos, lo que refuerza la necesidad de controles básicos.</w:t>
      </w:r>
    </w:p>
    <w:p>
      <w:pPr>
        <w:pStyle w:val="Heading2"/>
      </w:pPr>
      <w:r>
        <w:t>IV. Efecto de la vigencia de la norma sobre la legislación nacional</w:t>
      </w:r>
    </w:p>
    <w:p>
      <w:pPr>
        <w:jc w:val="both"/>
      </w:pPr>
      <w:r>
        <w:t>Complementa la Ley 29946 del Contrato de Seguro, la Ley 30096 y el Decreto de Urgencia 007-2020; no modifica la Ley General del Sistema Financiero.</w:t>
      </w:r>
    </w:p>
    <w:p>
      <w:pPr>
        <w:pStyle w:val="Heading2"/>
      </w:pPr>
      <w:r>
        <w:t>V. Antecedentes</w:t>
      </w:r>
    </w:p>
    <w:p>
      <w:pPr>
        <w:jc w:val="both"/>
      </w:pPr>
      <w:r>
        <w:t>Por verificar en SPLEY.</w:t>
      </w:r>
    </w:p>
    <w:p>
      <w:pPr>
        <w:pStyle w:val="Heading2"/>
      </w:pPr>
      <w:r>
        <w:t>VI. Indicador de éxito</w:t>
      </w:r>
    </w:p>
    <w:p>
      <w:pPr>
        <w:jc w:val="both"/>
      </w:pPr>
      <w:r>
        <w:t>A 2031, al menos 50 000 mipymes con autodiagnóstico completado y estadística anual de pagos por extorsión informática y del ramo de ciberseguros publicada.</w:t>
      </w:r>
    </w:p>
    <w:p>
      <w:pPr>
        <w:pStyle w:val="Heading2"/>
      </w:pPr>
      <w:r>
        <w:t>VII. Vinculación con la Agenda Legislativa y el Plan Perú 2050</w:t>
      </w:r>
    </w:p>
    <w:p>
      <w:r>
        <w:t>Comisiones temáticas del Plan Perú 2050: Mipymes, Seguros, Ciber Seguridad. ODS: 8, 9.</w:t>
      </w:r>
    </w:p>
    <w:p>
      <w:pPr>
        <w:pStyle w:val="Heading2"/>
      </w:pPr>
      <w:r>
        <w:t>VIII. Referencias</w:t>
      </w:r>
    </w:p>
    <w:p>
      <w:pPr>
        <w:pStyle w:val="ListBullet"/>
      </w:pPr>
      <w:r>
        <w:t>Ley 29946, Ley del Contrato de Seguro — https://www.leyes.congreso.gob.pe/Documentos/Leyes/29946.pdf</w:t>
      </w:r>
    </w:p>
    <w:p>
      <w:pPr>
        <w:pStyle w:val="ListBullet"/>
      </w:pPr>
      <w:r>
        <w:t>Ley 30096, Ley de Delitos Informáticos (2013) — https://busquedas.elperuano.pe/dispositivo/NL/1003117-1</w:t>
      </w:r>
    </w:p>
    <w:p>
      <w:pPr>
        <w:pStyle w:val="ListBullet"/>
      </w:pPr>
      <w:r>
        <w:t>Decreto de Urgencia 007-2020, que aprueba el Marco de Confianza Digital y dispone medidas para su fortalecimiento — https://www.gob.pe/institucion/pcm/normas-legales/395322-007-2020</w:t>
      </w:r>
    </w:p>
    <w:p>
      <w:pPr>
        <w:pStyle w:val="ListBullet"/>
      </w:pPr>
      <w:r>
        <w:t>Decreto Supremo 126-2025-PCM, Reglamento del Decreto de Urgencia 007-2020 (Marco de Confianza Digital) — https://busquedas.elperuano.pe/dispositivo/EX/2455024-1</w:t>
      </w:r>
    </w:p>
    <w:p>
      <w:pPr>
        <w:pStyle w:val="ListBullet"/>
      </w:pPr>
      <w:r>
        <w:t>Resolución SBS 504-2021, Reglamento para la Gestión de la Seguridad de la Información y la Ciberseguridad — https://busquedas.elperuano.pe/dispositivo/NL/1929393-1</w:t>
      </w:r>
    </w:p>
    <w:p>
      <w:pPr>
        <w:pStyle w:val="ListBullet"/>
      </w:pPr>
      <w:r>
        <w:t>Australia: Cyber Security Act 2024 (incluye reporte obligatorio de pagos de ransomware) — https://www.legislation.gov.au/C2024A00098</w:t>
      </w:r>
    </w:p>
    <w:p>
      <w:pPr>
        <w:pStyle w:val="ListBullet"/>
      </w:pPr>
      <w:r>
        <w:t>Estados Unidos: NIST Cybersecurity Framework 2.0 — https://www.nist.gov/cyberframework</w:t>
      </w:r>
    </w:p>
    <w:p>
      <w:pPr>
        <w:pStyle w:val="ListBullet"/>
      </w:pPr>
      <w:r>
        <w:t>Unión Europea: Directiva (UE) 2022/2555 (NIS2), medidas para un elevado nivel común de ciberseguridad — https://eur-lex.europa.eu/eli/dir/2022/2555/oj</w:t>
      </w:r>
    </w:p>
    <w:p>
      <w:pPr>
        <w:pStyle w:val="ListBullet"/>
      </w:pPr>
      <w:r>
        <w:t>Apaxi (07-09-2026): Normas de ciberseguridad para empresas en el Perú — https://apaxi.info/2026/09/07/normas-ciberseguridad-empresas-peru/</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CiberLATAM: Perú avanza con ciberseguridad sin ley general — https://ciberlatam.com/noticias/peru-avanza-ciberseguridad-ley-general</w:t>
      </w:r>
    </w:p>
    <w:p>
      <w:r>
        <w:t>Fuente: Agenda Legislativa Tech Perú 2026–2031 (https://unimauro.github.io/agenda-legislativa-tech/p/CIB-14.html),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ciberresiliencia de las mipymes, regula la transparencia de los seguros de riesgo cibernético y establece el reporte obligatorio de pagos por extorsión informática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