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REFORMA EL FINANCIAMIENTO DEL ACCESO Y SERVICIO UNIVERSAL DE TELECOMUNICACIONES Y FORTALECE LA GESTIÓN POR RESULTADOS DEL PROGRAMA NACIONAL DE TELECOMUNICACIONES</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REFORMA EL FINANCIAMIENTO DEL ACCESO Y SERVICIO UNIVERSAL DE TELECOMUNICACIONES Y FORTALECE LA GESTIÓN POR RESULTADOS DEL PROGRAMA NACIONAL DE TELECOMUNICACIONES</w:t>
      </w:r>
    </w:p>
    <w:p>
      <w:pPr>
        <w:jc w:val="both"/>
      </w:pPr>
      <w:r>
        <w:rPr>
          <w:b/>
        </w:rPr>
        <w:t>Artículo 1. Objeto</w:t>
        <w:br/>
      </w:r>
      <w:r>
        <w:t>La presente ley tiene por objeto reformular el financiamiento del acceso y servicio universal de telecomunicaciones, asegurar la sostenibilidad de las redes financiadas con recursos públicos durante su ciclo de vida y fortalecer la gestión por resultados del Programa Nacional de Telecomunicaciones (PRONATEL) o el que haga sus veces.</w:t>
      </w:r>
    </w:p>
    <w:p>
      <w:pPr>
        <w:jc w:val="both"/>
      </w:pPr>
      <w:r>
        <w:rPr>
          <w:b/>
        </w:rPr>
        <w:t>Artículo 2. Servicio universal</w:t>
        <w:br/>
      </w:r>
      <w:r>
        <w:t>El servicio universal de telecomunicaciones comprende el acceso a internet de banda ancha con conectividad significativa en los centros poblados, instituciones públicas y hogares que el mercado no atiende de manera sostenible, conforme a las metas del Plan Nacional de Conectividad aprobado por el Ministerio de Transportes y Comunicaciones.</w:t>
      </w:r>
    </w:p>
    <w:p>
      <w:pPr>
        <w:jc w:val="both"/>
      </w:pPr>
      <w:r>
        <w:rPr>
          <w:b/>
        </w:rPr>
        <w:t>Artículo 3. Ciclo de vida de los proyectos</w:t>
        <w:br/>
      </w:r>
      <w:r>
        <w:t>3.1 Todo proyecto de telecomunicaciones financiado con los recursos a que se refiere el artículo 3 de la Ley 28900 incluye, desde su formulación, la estimación y fuente de financiamiento de su operación, mantenimiento y reposición tecnológica por un horizonte no menor de quince años.</w:t>
        <w:br/>
        <w:t>3.2 Ningún proyecto se adjudica sin un esquema de operación posterior a la etapa de inversión, que puede consistir en contratos de operación y mantenimiento, concesión, asociación público privada, operación por gobiernos regionales u operadores comunitarios, según corresponda.</w:t>
      </w:r>
    </w:p>
    <w:p>
      <w:pPr>
        <w:jc w:val="both"/>
      </w:pPr>
      <w:r>
        <w:rPr>
          <w:b/>
        </w:rPr>
        <w:t>Artículo 4. Intangibilidad y uso de los recursos</w:t>
        <w:br/>
      </w:r>
      <w:r>
        <w:t>4.1 Los recursos a que se refiere el artículo 3 de la Ley 28900 son intangibles y se destinan exclusivamente al acceso y servicio universal de telecomunicaciones, incluyendo operación y mantenimiento de redes, apoyo focalizado a la demanda y capacidades digitales vinculadas al uso de la red.</w:t>
        <w:br/>
        <w:t>4.2 Los saldos no ejecutados al cierre del ejercicio fiscal se incorporan en el ejercicio siguiente para los mismos fines, conforme a la normativa del Sistema Nacional de Presupuesto Público.</w:t>
      </w:r>
    </w:p>
    <w:p>
      <w:pPr>
        <w:jc w:val="both"/>
      </w:pPr>
      <w:r>
        <w:rPr>
          <w:b/>
        </w:rPr>
        <w:t>Artículo 5. Gestión por resultados</w:t>
        <w:br/>
      </w:r>
      <w:r>
        <w:t>El PRONATEL formula sus intervenciones con indicadores de resultado, entre ellos centros poblados con conectividad significativa, usuarios activos, disponibilidad de la red y costo por usuario conectado. Dichos indicadores se incorporan al programa presupuestal correspondiente.</w:t>
      </w:r>
    </w:p>
    <w:p>
      <w:pPr>
        <w:jc w:val="both"/>
      </w:pPr>
      <w:r>
        <w:rPr>
          <w:b/>
        </w:rPr>
        <w:t>Artículo 6. Tablero público de proyectos</w:t>
        <w:br/>
      </w:r>
      <w:r>
        <w:t>El PRONATEL publica y actualiza trimestralmente, en formato de datos abiertos, la relación de proyectos con su ubicación georreferenciada, montos de inversión y de operación, estado de avance, contratistas, disponibilidad del servicio y número de usuarios o entidades conectadas.</w:t>
      </w:r>
    </w:p>
    <w:p>
      <w:pPr>
        <w:jc w:val="both"/>
      </w:pPr>
      <w:r>
        <w:rPr>
          <w:b/>
        </w:rPr>
        <w:t>Artículo 7. Evaluación independiente</w:t>
        <w:br/>
      </w:r>
      <w:r>
        <w:t>Las intervenciones cuyo monto supere el umbral que establezca el reglamento son objeto de una evaluación de impacto independiente a su tercer año de operación, cuyos resultados se publican y se remiten a la Comisión de Transportes y Comunicaciones del Congreso de la República.</w:t>
      </w:r>
    </w:p>
    <w:p>
      <w:pPr>
        <w:jc w:val="both"/>
      </w:pPr>
      <w:r>
        <w:rPr>
          <w:b/>
        </w:rPr>
        <w:t>Artículo 8. Participación de gobiernos regionales y locales</w:t>
        <w:br/>
      </w:r>
      <w:r>
        <w:t>El PRONATEL puede suscribir convenios con gobiernos regionales y locales para la operación, el mantenimiento y la gestión de la demanda de las redes en su jurisdicción, así como para su cofinanciamiento mediante el mecanismo de la Ley 29230.</w:t>
      </w:r>
    </w:p>
    <w:p>
      <w:pPr>
        <w:jc w:val="both"/>
      </w:pPr>
      <w:r>
        <w:rPr>
          <w:b/>
        </w:rPr>
        <w:t>Primera. Disposición Complementaria Final</w:t>
        <w:br/>
      </w:r>
      <w:r>
        <w:t>Reglamentación. El Ministerio de Transportes y Comunicaciones reglamenta la presente ley en un plazo de noventa días hábiles, previa opinión del Ministerio de Economía y Finanzas y del OSIPTEL.</w:t>
      </w:r>
    </w:p>
    <w:p>
      <w:pPr>
        <w:jc w:val="both"/>
      </w:pPr>
      <w:r>
        <w:rPr>
          <w:b/>
        </w:rPr>
        <w:t>Segunda. Disposición Complementaria Final</w:t>
        <w:br/>
      </w:r>
      <w:r>
        <w:t>Adecuación de proyectos en curso. En un plazo de ciento ochenta días calendario, el PRONATEL presenta un plan de continuidad de la operación y mantenimiento de todas las redes financiadas con recursos públicos cuyos contratos vencen antes de 2031.</w:t>
      </w:r>
    </w:p>
    <w:p>
      <w:pPr>
        <w:jc w:val="both"/>
      </w:pPr>
      <w:r>
        <w:rPr>
          <w:b/>
        </w:rPr>
        <w:t>Tercera. Disposición Complementaria Final</w:t>
        <w:br/>
      </w:r>
      <w:r>
        <w:t>Financiamiento. La presente ley se implementa con cargo a los recursos previstos en el artículo 3 de la Ley 28900 y al presupuesto institucional del pliego Ministerio de Transportes y Comunicaciones, sin demandar recursos adicionales al Tesoro Público.</w:t>
      </w:r>
    </w:p>
    <w:p>
      <w:r>
        <w:t>Lima, ___ de __________ de 20__</w:t>
      </w:r>
    </w:p>
    <w:p>
      <w:r>
        <w:br w:type="page"/>
      </w:r>
    </w:p>
    <w:p>
      <w:pPr>
        <w:pStyle w:val="Heading1"/>
      </w:pPr>
      <w:r>
        <w:t>EXPOSICIÓN DE MOTIVOS</w:t>
      </w:r>
    </w:p>
    <w:p>
      <w:pPr>
        <w:pStyle w:val="Heading2"/>
      </w:pPr>
      <w:r>
        <w:t>I. Fundamentos y problema</w:t>
      </w:r>
    </w:p>
    <w:p>
      <w:pPr>
        <w:jc w:val="both"/>
      </w:pPr>
      <w:r>
        <w:t>El Fondo de Inversión en Telecomunicaciones (FITEL), dotado de personería jurídica por la Ley 28900, fue absorbido en 2018 por el Ministerio de Transportes y Comunicaciones con la creación del Programa Nacional de Telecomunicaciones (PRONATEL), que administra sus recursos. La Comisión Temática de Telecomunicaciones del Plan Perú 2050 reporta 27 mil km de fibra desplegados con inversión pública para 5 633 centros poblados, con baja explotación comercial, y propone reformular el modelo de explotación de las redes regionales. El esquema heredado prioriza la construcción de infraestructura, mientras que la operación, el mantenimiento y la reposición tecnológica dependen de contratos de plazo limitado; ello expone las redes al deterioro y a interrupciones al término de los periodos contractuales. Tampoco existe un tablero público de proyectos con metas, costos y uso real, ni evaluaciones de impacto independientes obligatorias. El acceso universal sigue definido en clave de cobertura, no de conectividad significativa.</w:t>
      </w:r>
    </w:p>
    <w:p>
      <w:pPr>
        <w:pStyle w:val="Heading2"/>
      </w:pPr>
      <w:r>
        <w:t>II. Objeto</w:t>
      </w:r>
    </w:p>
    <w:p>
      <w:pPr>
        <w:jc w:val="both"/>
      </w:pPr>
      <w:r>
        <w:t>Reformular el financiamiento del acceso y servicio universal de telecomunicaciones para cubrir el ciclo de vida completo de las redes y fortalecer la gestión por resultados, la transparencia y la evaluación del PRONATEL.</w:t>
      </w:r>
    </w:p>
    <w:p>
      <w:pPr>
        <w:pStyle w:val="Heading2"/>
      </w:pPr>
      <w:r>
        <w:t>III. Análisis costo-beneficio</w:t>
      </w:r>
    </w:p>
    <w:p>
      <w:pPr>
        <w:jc w:val="both"/>
      </w:pPr>
      <w:r>
        <w:t>No crea entidades ni nuevas aportaciones: reordena el uso de los recursos ya existentes del fondo de acceso universal (aportes de operadores, porcentaje del canon del espectro y transferencias). El cambio de fondo es exigir que la operación y el mantenimiento se presupuesten desde el inicio, lo que reduce la cantidad de proyectos nuevos que pueden iniciarse por año pero evita el costo, mucho mayor, de redes construidas que se deterioran o quedan subutilizadas. El tablero de datos abiertos y la evaluación independiente tienen costo bajo (estudios puntuales). El beneficio esperado es mayor tasa de uso de las redes públicas y menor riesgo de interrupción del servicio en zonas rurales al vencer los contratos.</w:t>
      </w:r>
    </w:p>
    <w:p>
      <w:pPr>
        <w:pStyle w:val="Heading2"/>
      </w:pPr>
      <w:r>
        <w:t>IV. Efecto de la vigencia de la norma sobre la legislación nacional</w:t>
      </w:r>
    </w:p>
    <w:p>
      <w:pPr>
        <w:jc w:val="both"/>
      </w:pPr>
      <w:r>
        <w:t>Complementa la Ley 28900 y el artículo 7 de la Ley 29904. Se aplica al PRONATEL o al órgano que haga sus veces. No deroga normas.</w:t>
      </w:r>
    </w:p>
    <w:p>
      <w:pPr>
        <w:pStyle w:val="Heading2"/>
      </w:pPr>
      <w:r>
        <w:t>V. Antecedentes</w:t>
      </w:r>
    </w:p>
    <w:p>
      <w:pPr>
        <w:jc w:val="both"/>
      </w:pPr>
      <w:r>
        <w:t>Por verificar en SPLEY.</w:t>
      </w:r>
    </w:p>
    <w:p>
      <w:pPr>
        <w:pStyle w:val="Heading2"/>
      </w:pPr>
      <w:r>
        <w:t>VI. Indicador de éxito</w:t>
      </w:r>
    </w:p>
    <w:p>
      <w:pPr>
        <w:jc w:val="both"/>
      </w:pPr>
      <w:r>
        <w:t>100 % de las redes financiadas por el fondo de acceso universal con contrato de operación y mantenimiento vigente y tablero público trimestral de proyectos operativo a 2028.</w:t>
      </w:r>
    </w:p>
    <w:p>
      <w:pPr>
        <w:pStyle w:val="Heading2"/>
      </w:pPr>
      <w:r>
        <w:t>VII. Vinculación con la Agenda Legislativa y el Plan Perú 2050</w:t>
      </w:r>
    </w:p>
    <w:p>
      <w:r>
        <w:t>Comisiones temáticas del Plan Perú 2050: Telecomunicaciones, Desarrollo Rural, Reforma Del Estado. ODS: 9, 16.</w:t>
      </w:r>
    </w:p>
    <w:p>
      <w:pPr>
        <w:pStyle w:val="Heading2"/>
      </w:pPr>
      <w:r>
        <w:t>VIII. Referencias</w:t>
      </w:r>
    </w:p>
    <w:p>
      <w:pPr>
        <w:pStyle w:val="ListBullet"/>
      </w:pPr>
      <w:r>
        <w:t>Ley 28900, Ley que otorga al Fondo de Inversión en Telecomunicaciones - FITEL la calidad de persona jurídica de derecho público — https://leyes.congreso.gob.pe/Documentos/Leyes/28900.pdf</w:t>
      </w:r>
    </w:p>
    <w:p>
      <w:pPr>
        <w:pStyle w:val="ListBullet"/>
      </w:pPr>
      <w:r>
        <w:t>Ley 29904, Ley de Promoción de la Banda Ancha y Construcción de la Red Dorsal Nacional de Fibra Óptica — https://leyes.congreso.gob.pe/Documentos/Leyes/29904.pdf</w:t>
      </w:r>
    </w:p>
    <w:p>
      <w:pPr>
        <w:pStyle w:val="ListBullet"/>
      </w:pPr>
      <w:r>
        <w:t>Ley 29230, Ley que impulsa la inversión pública regional y local con participación del sector privado (Obras por Impuestos) — https://leyes.congreso.gob.pe/Documentos/Leyes/29230.pdf</w:t>
      </w:r>
    </w:p>
    <w:p>
      <w:pPr>
        <w:pStyle w:val="ListBullet"/>
      </w:pPr>
      <w:r>
        <w:t>Decreto Legislativo 1362, que regula la promoción de la inversión privada mediante Asociaciones Público Privadas y Proyectos en Activos — https://leyes.congreso.gob.pe/Documentos/DecretosLegislativos/01362.pdf</w:t>
      </w:r>
    </w:p>
    <w:p>
      <w:pPr>
        <w:pStyle w:val="ListBullet"/>
      </w:pPr>
      <w:r>
        <w:t>Colombia: Ley 1978 de 2019, moderniza el sector TIC (fondo único y obligaciones de hacer en asignación de espectro) — http://www.secretariasenado.gov.co/senado/basedoc/ley_1978_2019.html</w:t>
      </w:r>
    </w:p>
    <w:p>
      <w:pPr>
        <w:pStyle w:val="ListBullet"/>
      </w:pPr>
      <w:r>
        <w:t>Chile: Ley 21.678 (2024), establece el acceso a internet como servicio público de telecomunicaciones — https://www.bcn.cl/leychile/navegar?idNorma=1204651</w:t>
      </w:r>
    </w:p>
    <w:p>
      <w:pPr>
        <w:pStyle w:val="ListBullet"/>
      </w:pPr>
      <w:r>
        <w:t>PRONATEL, Programa Nacional de Telecomunicaciones (MTC) — https://www.gob.pe/pronatel</w:t>
      </w:r>
    </w:p>
    <w:p>
      <w:pPr>
        <w:pStyle w:val="ListBullet"/>
      </w:pPr>
      <w:r>
        <w:t>PRONATEL, informes y publicaciones — https://www.gob.pe/institucion/pronatel/informes-publicaciones</w:t>
      </w:r>
    </w:p>
    <w:p>
      <w:pPr>
        <w:pStyle w:val="ListBullet"/>
      </w:pPr>
      <w:r>
        <w:t>Andina: Crean Programa Nacional de Telecomunicaciones en reemplazo de FITEL (2018) — https://andina.pe/agencia/noticia-crean-programa-nacional-telecomunicaciones-reemplazo-fitel-735505.aspx</w:t>
      </w:r>
    </w:p>
    <w:p>
      <w:r>
        <w:t>Fuente: Agenda Legislativa Tech Perú 2026–2031 (https://unimauro.github.io/agenda-legislativa-tech/p/CON-02.html),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reforma el financiamiento del acceso y servicio universal de telecomunicaciones y fortalece la gestión por resultados del Programa Nacional de Telecomunicaciones</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