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RÉGIMEN PERMANENTE PARA LA INSTALACIÓN DE INFRAESTRUCTURA DE TELECOMUNICACIONES, CON APROBACIÓN AUTOMÁTICA, VENTANILLA ÚNICA DIGITAL Y TASAS UNIFORMES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RÉGIMEN PERMANENTE PARA LA INSTALACIÓN DE INFRAESTRUCTURA DE TELECOMUNICACIONES, CON APROBACIÓN AUTOMÁTICA, VENTANILLA ÚNICA DIGITAL Y TASAS UNIFORMES</w:t>
      </w:r>
    </w:p>
    <w:p>
      <w:pPr>
        <w:jc w:val="both"/>
      </w:pPr>
      <w:r>
        <w:rPr>
          <w:b/>
        </w:rPr>
        <w:t>Artículo 1. Objeto</w:t>
        <w:br/>
      </w:r>
      <w:r>
        <w:t>La presente ley tiene por objeto establecer el régimen permanente para la instalación y expansión de infraestructura necesaria para la prestación de servicios públicos de telecomunicaciones en todo el territorio nacional.</w:t>
      </w:r>
    </w:p>
    <w:p>
      <w:pPr>
        <w:jc w:val="both"/>
      </w:pPr>
      <w:r>
        <w:rPr>
          <w:b/>
        </w:rPr>
        <w:t>Artículo 2. Carácter permanente</w:t>
        <w:br/>
      </w:r>
      <w:r>
        <w:t>Modifícase el artículo 1 de la Ley 29022, Ley para el Fortalecimiento de la Expansión de Infraestructura en Telecomunicaciones, suprimiéndose la expresión "y temporal", de modo que el régimen que establece tiene carácter permanente.</w:t>
      </w:r>
    </w:p>
    <w:p>
      <w:pPr>
        <w:jc w:val="both"/>
      </w:pPr>
      <w:r>
        <w:rPr>
          <w:b/>
        </w:rPr>
        <w:t>Artículo 3. Aprobación automática y silencio positivo</w:t>
        <w:br/>
      </w:r>
      <w:r>
        <w:t>3.1 Los permisos sectoriales, regionales y municipales para instalar infraestructura de telecomunicaciones se sujetan a aprobación automática con la presentación del plan de trabajo y los requisitos únicos que apruebe el Ministerio de Transportes y Comunicaciones, conforme al artículo 5 de la Ley 29022.</w:t>
        <w:br/>
        <w:t>3.2 Los procedimientos que, por excepción, se sujeten a evaluación previa se rigen por el silencio administrativo positivo en un plazo máximo de quince días hábiles.</w:t>
      </w:r>
    </w:p>
    <w:p>
      <w:pPr>
        <w:jc w:val="both"/>
      </w:pPr>
      <w:r>
        <w:rPr>
          <w:b/>
        </w:rPr>
        <w:t>Artículo 4. Ventanilla Única Digital de Infraestructura de Telecomunicaciones</w:t>
        <w:br/>
      </w:r>
      <w:r>
        <w:t>4.1 Créase la Ventanilla Única Digital de Infraestructura de Telecomunicaciones, a cargo del Ministerio de Transportes y Comunicaciones, a través de la cual se presentan y tramitan todos los permisos regulados por la presente ley ante cualquier entidad.</w:t>
        <w:br/>
        <w:t>4.2 Las entidades públicas están obligadas a recibir y atender las solicitudes por la Ventanilla. La constancia de presentación generada por la plataforma constituye título habilitante en los casos de aprobación automática.</w:t>
      </w:r>
    </w:p>
    <w:p>
      <w:pPr>
        <w:jc w:val="both"/>
      </w:pPr>
      <w:r>
        <w:rPr>
          <w:b/>
        </w:rPr>
        <w:t>Artículo 5. Requisitos y tasas uniformes</w:t>
        <w:br/>
      </w:r>
      <w:r>
        <w:t>Las entidades no pueden exigir requisitos distintos a los aprobados por el Ministerio de Transportes y Comunicaciones. Los derechos de tramitación se determinan conforme a los costos reales del procedimiento, con arreglo a la Ley 27444, y no pueden superar los topes que fije el reglamento.</w:t>
      </w:r>
    </w:p>
    <w:p>
      <w:pPr>
        <w:jc w:val="both"/>
      </w:pPr>
      <w:r>
        <w:rPr>
          <w:b/>
        </w:rPr>
        <w:t>Artículo 6. Infraestructura de pequeño formato</w:t>
        <w:br/>
      </w:r>
      <w:r>
        <w:t>Las celdas pequeñas y antenas de bajo impacto visual que se instalen en mobiliario urbano, postes o fachadas, con las dimensiones que defina el reglamento, solo requieren comunicación previa a la entidad competente a través de la Ventanilla.</w:t>
      </w:r>
    </w:p>
    <w:p>
      <w:pPr>
        <w:jc w:val="both"/>
      </w:pPr>
      <w:r>
        <w:rPr>
          <w:b/>
        </w:rPr>
        <w:t>Artículo 7. Fiscalización posterior, mimetización y límites de radiación</w:t>
        <w:br/>
      </w:r>
      <w:r>
        <w:t>Las municipalidades fiscalizan de manera posterior el cumplimiento del plan de trabajo, las normas de mimetización y los límites máximos permisibles de radiaciones no ionizantes. La Ventanilla publica la ubicación de la infraestructura autorizada y las mediciones de radiaciones no ionizantes disponibles.</w:t>
      </w:r>
    </w:p>
    <w:p>
      <w:pPr>
        <w:jc w:val="both"/>
      </w:pPr>
      <w:r>
        <w:rPr>
          <w:b/>
        </w:rPr>
        <w:t>Artículo 8. Barreras burocráticas</w:t>
        <w:br/>
      </w:r>
      <w:r>
        <w:t>El incumplimiento de la presente ley por parte de las entidades constituye barrera burocrática ilegal, sin perjuicio de la responsabilidad administrativa de los funcionarios conforme al artículo 3 de la Ley 29022.</w:t>
      </w:r>
    </w:p>
    <w:p>
      <w:pPr>
        <w:jc w:val="both"/>
      </w:pPr>
      <w:r>
        <w:rPr>
          <w:b/>
        </w:rPr>
        <w:t>Primera. Disposición Complementaria Final</w:t>
        <w:br/>
      </w:r>
      <w:r>
        <w:t>Reglamentación. El Ministerio de Transportes y Comunicaciones adecua el reglamento de la Ley 29022 en un plazo de noventa días hábiles.</w:t>
      </w:r>
    </w:p>
    <w:p>
      <w:pPr>
        <w:jc w:val="both"/>
      </w:pPr>
      <w:r>
        <w:rPr>
          <w:b/>
        </w:rPr>
        <w:t>Segunda. Disposición Complementaria Final</w:t>
        <w:br/>
      </w:r>
      <w:r>
        <w:t>Implementación de la Ventanilla. La Ventanilla Única Digital entra en funcionamiento en un plazo no mayor de doce meses, con cargo al presupuesto institucional del Ministerio de Transportes y Comunicaciones; durante ese plazo se mantienen los canales vigentes.</w:t>
      </w:r>
    </w:p>
    <w:p>
      <w:pPr>
        <w:jc w:val="both"/>
      </w:pPr>
      <w:r>
        <w:rPr>
          <w:b/>
        </w:rPr>
        <w:t>Tercera. Disposición Complementaria Final</w:t>
        <w:br/>
      </w:r>
      <w:r>
        <w:t>Participación ciudadana. El reglamento establece mecanismos de información a los vecinos sobre la instalación de infraestructura y la publicación de mediciones de radiaciones no ionizantes.</w:t>
      </w:r>
    </w:p>
    <w:p>
      <w:r>
        <w:t>Lima, ___ de __________ de 20__</w:t>
      </w:r>
    </w:p>
    <w:p>
      <w:r>
        <w:br w:type="page"/>
      </w:r>
    </w:p>
    <w:p>
      <w:pPr>
        <w:pStyle w:val="Heading1"/>
      </w:pPr>
      <w:r>
        <w:t>EXPOSICIÓN DE MOTIVOS</w:t>
      </w:r>
    </w:p>
    <w:p>
      <w:pPr>
        <w:pStyle w:val="Heading2"/>
      </w:pPr>
      <w:r>
        <w:t>I. Fundamentos y problema</w:t>
      </w:r>
    </w:p>
    <w:p>
      <w:pPr>
        <w:jc w:val="both"/>
      </w:pPr>
      <w:r>
        <w:t>La Ley 29022 estableció un régimen especial y temporal que somete los permisos para instalar infraestructura de telecomunicaciones a aprobación automática, y obliga a todas las entidades públicas. Su vigencia ha dependido de leyes sucesivas: la Ley 29868 restableció su vigencia y la Ley 30228 fijó un plazo de diez años contados desde esta última. La temporalidad genera incertidumbre para inversiones de largo plazo, en especial las nuevas redes 5G que requieren muchas más estaciones de menor tamaño. En la práctica, los operadores enfrentan requisitos, formatos y tasas distintos en cada una de las municipalidades del país, sin una plataforma única de trámite ni de fiscalización. La Comisión Temática de Telecomunicaciones del Plan Perú 2050 plantea modernizar el marco regulatorio, incluida la compartición de infraestructura, con una meta de compartición superior al 80 % al 2050.</w:t>
      </w:r>
    </w:p>
    <w:p>
      <w:pPr>
        <w:pStyle w:val="Heading2"/>
      </w:pPr>
      <w:r>
        <w:t>II. Objeto</w:t>
      </w:r>
    </w:p>
    <w:p>
      <w:pPr>
        <w:jc w:val="both"/>
      </w:pPr>
      <w:r>
        <w:t>Dotar de carácter permanente al régimen de instalación de infraestructura de telecomunicaciones y simplificar su tramitación mediante una ventanilla única digital, requisitos y tasas uniformes y fiscalización posterior efectiva.</w:t>
      </w:r>
    </w:p>
    <w:p>
      <w:pPr>
        <w:pStyle w:val="Heading2"/>
      </w:pPr>
      <w:r>
        <w:t>III. Análisis costo-beneficio</w:t>
      </w:r>
    </w:p>
    <w:p>
      <w:pPr>
        <w:jc w:val="both"/>
      </w:pPr>
      <w:r>
        <w:t>El costo fiscal se limita al desarrollo de la ventanilla digital, financiable con el presupuesto del MTC. Las municipalidades pueden ver reducidos ingresos por tasas que excedan el costo real del trámite, lo que ya está prohibido por la Ley 27444. El beneficio es certidumbre jurídica para el despliegue de 5G y de estaciones en zonas periurbanas y rurales, menores tiempos de instalación y trazabilidad pública de la infraestructura. Se mantiene la protección del vecino mediante fiscalización posterior, mimetización y publicación de mediciones de radiaciones no ionizantes.</w:t>
      </w:r>
    </w:p>
    <w:p>
      <w:pPr>
        <w:pStyle w:val="Heading2"/>
      </w:pPr>
      <w:r>
        <w:t>IV. Efecto de la vigencia de la norma sobre la legislación nacional</w:t>
      </w:r>
    </w:p>
    <w:p>
      <w:pPr>
        <w:jc w:val="both"/>
      </w:pPr>
      <w:r>
        <w:t>Modifica el artículo 1 de la Ley 29022 (suprime su carácter temporal) y deja sin efecto, en lo que se oponga, el artículo 6 de la Ley 30228 sobre plazo de vigencia. Complementa la Ley 27444.</w:t>
      </w:r>
    </w:p>
    <w:p>
      <w:pPr>
        <w:pStyle w:val="Heading2"/>
      </w:pPr>
      <w:r>
        <w:t>V. Antecedentes</w:t>
      </w:r>
    </w:p>
    <w:p>
      <w:pPr>
        <w:jc w:val="both"/>
      </w:pPr>
      <w:r>
        <w:t>Por verificar en SPLEY.</w:t>
      </w:r>
    </w:p>
    <w:p>
      <w:pPr>
        <w:pStyle w:val="Heading2"/>
      </w:pPr>
      <w:r>
        <w:t>VI. Indicador de éxito</w:t>
      </w:r>
    </w:p>
    <w:p>
      <w:pPr>
        <w:jc w:val="both"/>
      </w:pPr>
      <w:r>
        <w:t>100 % de los permisos de infraestructura de telecomunicaciones tramitados por la ventanilla única a 2029, con tiempo promedio de obtención publicado y menor a 15 días hábiles.</w:t>
      </w:r>
    </w:p>
    <w:p>
      <w:pPr>
        <w:pStyle w:val="Heading2"/>
      </w:pPr>
      <w:r>
        <w:t>VII. Vinculación con la Agenda Legislativa y el Plan Perú 2050</w:t>
      </w:r>
    </w:p>
    <w:p>
      <w:r>
        <w:t>Comisiones temáticas del Plan Perú 2050: Telecomunicaciones, Ciudades Inteligentes, Reforma Del Estado. ODS: 9, 11.</w:t>
      </w:r>
    </w:p>
    <w:p>
      <w:pPr>
        <w:pStyle w:val="Heading2"/>
      </w:pPr>
      <w:r>
        <w:t>VIII. Referencias</w:t>
      </w:r>
    </w:p>
    <w:p>
      <w:pPr>
        <w:pStyle w:val="ListBullet"/>
      </w:pPr>
      <w:r>
        <w:t>Ley 29022, Ley para el Fortalecimiento de la Expansión de Infraestructura en Telecomunicaciones — https://leyes.congreso.gob.pe/Documentos/Leyes/29022.pdf</w:t>
      </w:r>
    </w:p>
    <w:p>
      <w:pPr>
        <w:pStyle w:val="ListBullet"/>
      </w:pPr>
      <w:r>
        <w:t>Ley 30228, Ley que modifica la Ley 29022, Ley para la Expansión de Infraestructura en Telecomunicaciones — https://leyes.congreso.gob.pe/Documentos/Leyes/30228.pdf</w:t>
      </w:r>
    </w:p>
    <w:p>
      <w:pPr>
        <w:pStyle w:val="ListBullet"/>
      </w:pPr>
      <w:r>
        <w:t>Ley 29868, Ley que restablece la vigencia de la Ley 29022 — https://leyes.congreso.gob.pe/Documentos/Leyes/29868.pdf</w:t>
      </w:r>
    </w:p>
    <w:p>
      <w:pPr>
        <w:pStyle w:val="ListBullet"/>
      </w:pPr>
      <w:r>
        <w:t>Ley 27444, Ley del Procedimiento Administrativo General — https://leyes.congreso.gob.pe/Documentos/Leyes/27444.pdf</w:t>
      </w:r>
    </w:p>
    <w:p>
      <w:pPr>
        <w:pStyle w:val="ListBullet"/>
      </w:pPr>
      <w:r>
        <w:t>Ley 27972, Ley Orgánica de Municipalidades — https://leyes.congreso.gob.pe/Documentos/Leyes/27972.pdf</w:t>
      </w:r>
    </w:p>
    <w:p>
      <w:pPr>
        <w:pStyle w:val="ListBullet"/>
      </w:pPr>
      <w:r>
        <w:t>Chile: Ley 20.599 (2012), regula la instalación de antenas emisoras y transmisoras de servicios de telecomunicaciones — https://www.bcn.cl/leychile/navegar?idNorma=1040859</w:t>
      </w:r>
    </w:p>
    <w:p>
      <w:pPr>
        <w:pStyle w:val="ListBullet"/>
      </w:pPr>
      <w:r>
        <w:t>Unión Europea: Reglamento (UE) 2024/1309, Gigabit Infrastructure Act (despliegue coordinado de obras civiles y acceso a infraestructura física) — https://digital-strategy.ec.europa.eu/en/policies/gigabit-infrastructure-act</w:t>
      </w:r>
    </w:p>
    <w:p>
      <w:pPr>
        <w:pStyle w:val="ListBullet"/>
      </w:pPr>
      <w:r>
        <w:t>Ministerio de Transportes y Comunicaciones — https://www.gob.pe/mtc</w:t>
      </w:r>
    </w:p>
    <w:p>
      <w:pPr>
        <w:pStyle w:val="ListBullet"/>
      </w:pPr>
      <w:r>
        <w:t>OSIPTEL, informes y publicaciones — https://www.gob.pe/institucion/osiptel/informes-publicaciones</w:t>
      </w:r>
    </w:p>
    <w:p>
      <w:pPr>
        <w:pStyle w:val="ListBullet"/>
      </w:pPr>
      <w:r>
        <w:t>OSIPTEL, PUNKU - Portal de información estadística de telecomunicaciones — https://punku.osiptel.gob.pe/</w:t>
      </w:r>
    </w:p>
    <w:p>
      <w:r>
        <w:t>Fuente: Agenda Legislativa Tech Perú 2026–2031 (https://unimauro.github.io/agenda-legislativa-tech/p/CON-05.html),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régimen permanente para la instalación de infraestructura de telecomunicaciones, con aprobación automática, ventanilla única digital y tasas uniformes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