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GESTIÓN EFICIENTE DEL ESPECTRO RADIOELÉCTRICO PARA 5G Y TECNOLOGÍAS FUTURAS CON OBLIGACIONES DE COBERTURA RURAL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GESTIÓN EFICIENTE DEL ESPECTRO RADIOELÉCTRICO PARA 5G Y TECNOLOGÍAS FUTURAS CON OBLIGACIONES DE COBERTURA RURAL</w:t>
      </w:r>
    </w:p>
    <w:p>
      <w:pPr>
        <w:jc w:val="both"/>
      </w:pPr>
      <w:r>
        <w:rPr>
          <w:b/>
        </w:rPr>
        <w:t>Artículo 1. Objeto</w:t>
        <w:br/>
      </w:r>
      <w:r>
        <w:t>La presente ley tiene por objeto establecer reglas para la gestión eficiente del espectro radioeléctrico destinado a servicios públicos de telecomunicaciones móviles e inalámbricos, priorizando la cobertura de centros poblados no atendidos y la migración a tecnologías de mayor eficiencia.</w:t>
      </w:r>
    </w:p>
    <w:p>
      <w:pPr>
        <w:jc w:val="both"/>
      </w:pPr>
      <w:r>
        <w:rPr>
          <w:b/>
        </w:rPr>
        <w:t>Artículo 2. Principios</w:t>
        <w:br/>
      </w:r>
      <w:r>
        <w:t>La gestión del espectro se rige por los principios de uso eficiente, neutralidad tecnológica, maximización del beneficio social sobre la recaudación, transparencia, predictibilidad y no discriminación.</w:t>
      </w:r>
    </w:p>
    <w:p>
      <w:pPr>
        <w:jc w:val="both"/>
      </w:pPr>
      <w:r>
        <w:rPr>
          <w:b/>
        </w:rPr>
        <w:t>Artículo 3. Hoja de ruta del espectro</w:t>
        <w:br/>
      </w:r>
      <w:r>
        <w:t>El Ministerio de Transportes y Comunicaciones aprueba y publica, cada tres años, una hoja de ruta quinquenal del espectro que identifica las bandas a licitar, el cronograma y los criterios de asignación, previa consulta pública y opinión del OSIPTEL.</w:t>
      </w:r>
    </w:p>
    <w:p>
      <w:pPr>
        <w:jc w:val="both"/>
      </w:pPr>
      <w:r>
        <w:rPr>
          <w:b/>
        </w:rPr>
        <w:t>Artículo 4. Obligaciones de cobertura rural</w:t>
        <w:br/>
      </w:r>
      <w:r>
        <w:t>4.1 Toda asignación de espectro para servicios móviles mediante concurso incluye obligaciones de cobertura de centros poblados sin servicio o con servicio inferior a 4G, identificados por el Ministerio de Transportes y Comunicaciones, con plazos y velocidades mínimas verificables.</w:t>
        <w:br/>
        <w:t>4.2 Los criterios de adjudicación pueden asignar mayor puntaje a los compromisos de cobertura que a la oferta económica.</w:t>
      </w:r>
    </w:p>
    <w:p>
      <w:pPr>
        <w:jc w:val="both"/>
      </w:pPr>
      <w:r>
        <w:rPr>
          <w:b/>
        </w:rPr>
        <w:t>Artículo 5. Obligaciones de hacer</w:t>
        <w:br/>
      </w:r>
      <w:r>
        <w:t>Hasta el porcentaje que determine el reglamento, la contraprestación por la asignación del espectro puede pagarse mediante la ejecución de proyectos de despliegue en zonas no atendidas, verificados por un supervisor independiente. El incumplimiento obliga al pago en dinero con los intereses correspondientes y la ejecución de las garantías.</w:t>
      </w:r>
    </w:p>
    <w:p>
      <w:pPr>
        <w:jc w:val="both"/>
      </w:pPr>
      <w:r>
        <w:rPr>
          <w:b/>
        </w:rPr>
        <w:t>Artículo 6. Uso efectivo y reversión</w:t>
        <w:br/>
      </w:r>
      <w:r>
        <w:t>El espectro asignado y no utilizado en las áreas y plazos comprometidos revierte al Estado, total o parcialmente, previo procedimiento con derecho de defensa, sin derecho a compensación.</w:t>
      </w:r>
    </w:p>
    <w:p>
      <w:pPr>
        <w:jc w:val="both"/>
      </w:pPr>
      <w:r>
        <w:rPr>
          <w:b/>
        </w:rPr>
        <w:t>Artículo 7. Mercado secundario y compartición</w:t>
        <w:br/>
      </w:r>
      <w:r>
        <w:t>Se permite la transferencia, el arrendamiento y el uso compartido del espectro entre concesionarios, previa autorización del Ministerio de Transportes y Comunicaciones y opinión del OSIPTEL sobre sus efectos en la competencia, conforme a la Ley 30083.</w:t>
      </w:r>
    </w:p>
    <w:p>
      <w:pPr>
        <w:jc w:val="both"/>
      </w:pPr>
      <w:r>
        <w:rPr>
          <w:b/>
        </w:rPr>
        <w:t>Artículo 8. Migración tecnológica</w:t>
        <w:br/>
      </w:r>
      <w:r>
        <w:t>El Ministerio de Transportes y Comunicaciones aprueba un plan de apagado progresivo de redes 2G y 3G que garantice la continuidad del servicio a los usuarios, incluyendo medidas para el recambio de terminales en hogares vulnerables y la liberación de espectro para tecnologías más eficientes.</w:t>
      </w:r>
    </w:p>
    <w:p>
      <w:pPr>
        <w:jc w:val="both"/>
      </w:pPr>
      <w:r>
        <w:rPr>
          <w:b/>
        </w:rPr>
        <w:t>Artículo 9. Espectro para usos locales</w:t>
        <w:br/>
      </w:r>
      <w:r>
        <w:t>La hoja de ruta reserva porciones de espectro para usos locales, rurales y comunitarios, conforme al marco que se establezca para operadores comunitarios.</w:t>
      </w:r>
    </w:p>
    <w:p>
      <w:pPr>
        <w:jc w:val="both"/>
      </w:pPr>
      <w:r>
        <w:rPr>
          <w:b/>
        </w:rPr>
        <w:t>Primera. Disposición Complementaria Final</w:t>
        <w:br/>
      </w:r>
      <w:r>
        <w:t>Reglamentación. El Ministerio de Transportes y Comunicaciones reglamenta la presente ley en un plazo de ciento veinte días hábiles, previa opinión del OSIPTEL y del Ministerio de Economía y Finanzas.</w:t>
      </w:r>
    </w:p>
    <w:p>
      <w:pPr>
        <w:jc w:val="both"/>
      </w:pPr>
      <w:r>
        <w:rPr>
          <w:b/>
        </w:rPr>
        <w:t>Segunda. Disposición Complementaria Final</w:t>
        <w:br/>
      </w:r>
      <w:r>
        <w:t>Primera hoja de ruta. La primera hoja de ruta del espectro se publica en un plazo no mayor de ciento ochenta días calendario desde la publicación del reglamento.</w:t>
      </w:r>
    </w:p>
    <w:p>
      <w:pPr>
        <w:jc w:val="both"/>
      </w:pPr>
      <w:r>
        <w:rPr>
          <w:b/>
        </w:rPr>
        <w:t>Tercera. Disposición Complementaria Final</w:t>
        <w:br/>
      </w:r>
      <w:r>
        <w:t>Asignaciones vigentes. La presente ley no afecta los contratos de concesión ni asignaciones vigentes, salvo acuerdo de adecuación con el concesionario.</w:t>
      </w:r>
    </w:p>
    <w:p>
      <w:r>
        <w:t>Lima, ___ de __________ de 20__</w:t>
      </w:r>
    </w:p>
    <w:p>
      <w:r>
        <w:br w:type="page"/>
      </w:r>
    </w:p>
    <w:p>
      <w:pPr>
        <w:pStyle w:val="Heading1"/>
      </w:pPr>
      <w:r>
        <w:t>EXPOSICIÓN DE MOTIVOS</w:t>
      </w:r>
    </w:p>
    <w:p>
      <w:pPr>
        <w:pStyle w:val="Heading2"/>
      </w:pPr>
      <w:r>
        <w:t>I. Fundamentos y problema</w:t>
      </w:r>
    </w:p>
    <w:p>
      <w:pPr>
        <w:jc w:val="both"/>
      </w:pPr>
      <w:r>
        <w:t>Según la Comisión Temática de Telecomunicaciones del Plan Perú 2050, a mayo de 2026 solo el 15 % del espectro atribuido a servicios móviles estaba asignado y en uso para 5G, menos del 8 % operaba bajo New Radio, y más del 50 % de los servicios móviles todavía se prestaba sobre 2G y 3G. La misma comisión plantea acelerar la migración a 5G mediante instrumentos regulatorios y premios por cumplimiento de metas, con una meta de 90 % de servicios en 5G al 2050. El marco del Texto Único Ordenado de la Ley de Telecomunicaciones (Decreto Supremo 013-93-TCC) es anterior a las subastas modernas y no define, con rango de ley, criterios de cobertura rural, uso efectivo, reversión por no uso ni transferencia del espectro. Colombia, mediante la Ley 1978 de 2019, permite que parte del pago por el espectro se cumpla con obligaciones de hacer para llevar conectividad a zonas no atendidas.</w:t>
      </w:r>
    </w:p>
    <w:p>
      <w:pPr>
        <w:pStyle w:val="Heading2"/>
      </w:pPr>
      <w:r>
        <w:t>II. Objeto</w:t>
      </w:r>
    </w:p>
    <w:p>
      <w:pPr>
        <w:jc w:val="both"/>
      </w:pPr>
      <w:r>
        <w:t>Establecer principios y reglas de rango legal para la asignación, uso efectivo, transferencia y compartición del espectro radioeléctrico para servicios móviles, orientados a la cobertura rural y la migración tecnológica.</w:t>
      </w:r>
    </w:p>
    <w:p>
      <w:pPr>
        <w:pStyle w:val="Heading2"/>
      </w:pPr>
      <w:r>
        <w:t>III. Análisis costo-beneficio</w:t>
      </w:r>
    </w:p>
    <w:p>
      <w:pPr>
        <w:jc w:val="both"/>
      </w:pPr>
      <w:r>
        <w:t>Priorizar cobertura sobre recaudación implica que el Tesoro y el fondo de acceso universal pueden recibir menos dinero inmediato por las subastas; a cambio, el despliegue rural lo ejecuta el operador con su eficiencia y escala, en lugar de financiarse luego con proyectos públicos. Las obligaciones de hacer requieren supervisión independiente (costo bajo, cargo del adjudicatario). El apagado de 2G/3G libera espectro y reduce costos operativos, pero exige un programa de recambio de terminales focalizado que puede financiarse con recursos del fondo de acceso universal. Beneficio: más cobertura 4G/5G en zonas rurales y uso efectivo del espectro hoy ocioso.</w:t>
      </w:r>
    </w:p>
    <w:p>
      <w:pPr>
        <w:pStyle w:val="Heading2"/>
      </w:pPr>
      <w:r>
        <w:t>IV. Efecto de la vigencia de la norma sobre la legislación nacional</w:t>
      </w:r>
    </w:p>
    <w:p>
      <w:pPr>
        <w:jc w:val="both"/>
      </w:pPr>
      <w:r>
        <w:t>Complementa el Texto Único Ordenado de la Ley de Telecomunicaciones (Decreto Supremo 013-93-TCC) y la Ley 30083. No deroga normas.</w:t>
      </w:r>
    </w:p>
    <w:p>
      <w:pPr>
        <w:pStyle w:val="Heading2"/>
      </w:pPr>
      <w:r>
        <w:t>V. Antecedentes</w:t>
      </w:r>
    </w:p>
    <w:p>
      <w:pPr>
        <w:jc w:val="both"/>
      </w:pPr>
      <w:r>
        <w:t>Por verificar en SPLEY.</w:t>
      </w:r>
    </w:p>
    <w:p>
      <w:pPr>
        <w:pStyle w:val="Heading2"/>
      </w:pPr>
      <w:r>
        <w:t>VI. Indicador de éxito</w:t>
      </w:r>
    </w:p>
    <w:p>
      <w:pPr>
        <w:jc w:val="both"/>
      </w:pPr>
      <w:r>
        <w:t>Hoja de ruta del espectro publicada a 2028; al menos un concurso adjudicado con obligaciones de cobertura rural verificadas; proporción de servicios móviles en 2G/3G inferior a 20 % en 2031 (línea de base &gt;50 %, Plan Perú 2050).</w:t>
      </w:r>
    </w:p>
    <w:p>
      <w:pPr>
        <w:pStyle w:val="Heading2"/>
      </w:pPr>
      <w:r>
        <w:t>VII. Vinculación con la Agenda Legislativa y el Plan Perú 2050</w:t>
      </w:r>
    </w:p>
    <w:p>
      <w:r>
        <w:t>Comisiones temáticas del Plan Perú 2050: Telecomunicaciones, Desarrollo Rural, Competitividad. ODS: 9, 10.</w:t>
      </w:r>
    </w:p>
    <w:p>
      <w:pPr>
        <w:pStyle w:val="Heading2"/>
      </w:pPr>
      <w:r>
        <w:t>VIII. Referencias</w:t>
      </w:r>
    </w:p>
    <w:p>
      <w:pPr>
        <w:pStyle w:val="ListBullet"/>
      </w:pPr>
      <w:r>
        <w:t>Ley 30083, Ley que establece medidas para fortalecer la competencia en el mercado de los servicios públicos móviles — https://leyes.congreso.gob.pe/Documentos/Leyes/30083.pdf</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27332, Ley Marco de los Organismos Reguladores de la Inversión Privada en los Servicios Públicos — https://leyes.congreso.gob.pe/Documentos/Leyes/27332.pdf</w:t>
      </w:r>
    </w:p>
    <w:p>
      <w:pPr>
        <w:pStyle w:val="ListBullet"/>
      </w:pPr>
      <w:r>
        <w:t>Colombia: Ley 1978 de 2019, moderniza el sector TIC (fondo único y obligaciones de hacer en asignación de espectro) — http://www.secretariasenado.gov.co/senado/basedoc/ley_1978_2019.html</w:t>
      </w:r>
    </w:p>
    <w:p>
      <w:pPr>
        <w:pStyle w:val="ListBullet"/>
      </w:pPr>
      <w:r>
        <w:t>Unión Europea: Reglamento (UE) 2024/1309, Gigabit Infrastructure Act (despliegue coordinado de obras civiles y acceso a infraestructura física) — https://digital-strategy.ec.europa.eu/en/policies/gigabit-infrastructure-act</w:t>
      </w:r>
    </w:p>
    <w:p>
      <w:pPr>
        <w:pStyle w:val="ListBullet"/>
      </w:pPr>
      <w:r>
        <w:t>Ministerio de Transportes y Comunicaciones — https://www.gob.pe/mtc</w:t>
      </w:r>
    </w:p>
    <w:p>
      <w:pPr>
        <w:pStyle w:val="ListBullet"/>
      </w:pPr>
      <w:r>
        <w:t>OSIPTEL, PUNKU - Portal de información estadística de telecomunicaciones — https://punku.osiptel.gob.pe/</w:t>
      </w:r>
    </w:p>
    <w:p>
      <w:pPr>
        <w:pStyle w:val="ListBullet"/>
      </w:pPr>
      <w:r>
        <w:t>Subsecretaría de Telecomunicaciones de Chile (SUBTEL) — https://www.subtel.gob.cl/</w:t>
      </w:r>
    </w:p>
    <w:p>
      <w:r>
        <w:t>Fuente: Agenda Legislativa Tech Perú 2026–2031 (https://unimauro.github.io/agenda-legislativa-tech/p/CON-06.html),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gestión eficiente del espectro radioeléctrico para 5G y tecnologías futuras con obligaciones de cobertura rural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