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PROMUEVE LA DIVERSIFICACIÓN DE CABLES SUBMARINOS, LA PROTECCIÓN DE SUS ESTACIONES DE ATERRIZAJE Y LOS PUNTOS DE INTERCAMBIO DE TRÁFICO DE INTERNET REGIONALES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PROMUEVE LA DIVERSIFICACIÓN DE CABLES SUBMARINOS, LA PROTECCIÓN DE SUS ESTACIONES DE ATERRIZAJE Y LOS PUNTOS DE INTERCAMBIO DE TRÁFICO DE INTERNET REGIONALES</w:t>
      </w:r>
    </w:p>
    <w:p>
      <w:pPr>
        <w:jc w:val="both"/>
      </w:pPr>
      <w:r>
        <w:rPr>
          <w:b/>
        </w:rPr>
        <w:t>Artículo 1. Objeto</w:t>
        <w:br/>
      </w:r>
      <w:r>
        <w:t>La presente ley tiene por objeto promover la diversificación de rutas de cables submarinos de telecomunicaciones, la protección de sus estaciones de aterrizaje y la creación de puntos de intercambio de tráfico de internet en las regiones del país.</w:t>
      </w:r>
    </w:p>
    <w:p>
      <w:pPr>
        <w:jc w:val="both"/>
      </w:pPr>
      <w:r>
        <w:rPr>
          <w:b/>
        </w:rPr>
        <w:t>Artículo 2. Infraestructura crítica</w:t>
        <w:br/>
      </w:r>
      <w:r>
        <w:t>Los cables submarinos de telecomunicaciones, sus estaciones de aterrizaje y los puntos de intercambio de tráfico de internet de alcance nacional constituyen infraestructura crítica de telecomunicaciones.</w:t>
      </w:r>
    </w:p>
    <w:p>
      <w:pPr>
        <w:jc w:val="both"/>
      </w:pPr>
      <w:r>
        <w:rPr>
          <w:b/>
        </w:rPr>
        <w:t>Artículo 3. Autorización integrada</w:t>
        <w:br/>
      </w:r>
      <w:r>
        <w:t>El Ministerio de Transportes y Comunicaciones coordina, mediante procedimiento integrado y con plazo máximo que fije el reglamento, las autorizaciones sectoriales necesarias para el tendido de cables submarinos y la instalación de estaciones de aterrizaje, incluidas las de la autoridad marítima y las ambientales.</w:t>
      </w:r>
    </w:p>
    <w:p>
      <w:pPr>
        <w:jc w:val="both"/>
      </w:pPr>
      <w:r>
        <w:rPr>
          <w:b/>
        </w:rPr>
        <w:t>Artículo 4. Diversificación geográfica</w:t>
        <w:br/>
      </w:r>
      <w:r>
        <w:t>El Plan Nacional de Conectividad identifica puntos de aterrizaje alternativos fuera de la costa central y las rutas terrestres de conexión con la red mayorista pública de fibra, para reducir la concentración de la conectividad internacional.</w:t>
      </w:r>
    </w:p>
    <w:p>
      <w:pPr>
        <w:jc w:val="both"/>
      </w:pPr>
      <w:r>
        <w:rPr>
          <w:b/>
        </w:rPr>
        <w:t>Artículo 5. Acceso abierto</w:t>
        <w:br/>
      </w:r>
      <w:r>
        <w:t>Los titulares de estaciones de aterrizaje ofrecen coubicación y acceso a la capacidad internacional disponible a otros concesionarios en condiciones no discriminatorias, conforme a la regulación del OSIPTEL.</w:t>
      </w:r>
    </w:p>
    <w:p>
      <w:pPr>
        <w:jc w:val="both"/>
      </w:pPr>
      <w:r>
        <w:rPr>
          <w:b/>
        </w:rPr>
        <w:t>Artículo 6. Zonas de protección</w:t>
        <w:br/>
      </w:r>
      <w:r>
        <w:t>La autoridad marítima nacional, a propuesta del Ministerio de Transportes y Comunicaciones, establece zonas de protección de cables submarinos en las que se restringen actividades de pesca de arrastre, fondeo y extracción que pongan en riesgo su integridad, y difunde su ubicación en las cartas náuticas.</w:t>
      </w:r>
    </w:p>
    <w:p>
      <w:pPr>
        <w:jc w:val="both"/>
      </w:pPr>
      <w:r>
        <w:rPr>
          <w:b/>
        </w:rPr>
        <w:t>Artículo 7. Puntos de intercambio de tráfico regionales</w:t>
        <w:br/>
      </w:r>
      <w:r>
        <w:t>7.1 El Ministerio de Transportes y Comunicaciones promueve la instalación de puntos de intercambio de tráfico de internet neutrales en las macrorregiones del país, preferentemente en nodos de la red mayorista pública de fibra óptica, con coubicación a costo.</w:t>
        <w:br/>
        <w:t>7.2 Los IXP pueden ser operados por asociaciones sin fines de lucro, universidades o entidades neutrales, bajo gobernanza abierta a sus participantes.</w:t>
      </w:r>
    </w:p>
    <w:p>
      <w:pPr>
        <w:jc w:val="both"/>
      </w:pPr>
      <w:r>
        <w:rPr>
          <w:b/>
        </w:rPr>
        <w:t>Artículo 8. Interconexión local del tráfico</w:t>
        <w:br/>
      </w:r>
      <w:r>
        <w:t>El OSIPTEL puede emitir disposiciones que promuevan que el tráfico de internet originado y terminado en una misma macrorregión se intercambie localmente cuando exista un IXP disponible, sin afectar la libertad de acuerdos de interconexión entre redes.</w:t>
      </w:r>
    </w:p>
    <w:p>
      <w:pPr>
        <w:jc w:val="both"/>
      </w:pPr>
      <w:r>
        <w:rPr>
          <w:b/>
        </w:rPr>
        <w:t>Primera. Disposición Complementaria Final</w:t>
        <w:br/>
      </w:r>
      <w:r>
        <w:t>Reglamentación. El Poder Ejecutivo reglamenta la presente ley en un plazo de ciento veinte días hábiles, mediante decreto supremo refrendado por los Ministros de Transportes y Comunicaciones y de Defensa.</w:t>
      </w:r>
    </w:p>
    <w:p>
      <w:pPr>
        <w:jc w:val="both"/>
      </w:pPr>
      <w:r>
        <w:rPr>
          <w:b/>
        </w:rPr>
        <w:t>Segunda. Disposición Complementaria Final</w:t>
        <w:br/>
      </w:r>
      <w:r>
        <w:t>Financiamiento de IXP. El PRONATEL puede cofinanciar el equipamiento inicial de IXP regionales con los recursos de la Ley 28900, sin demandar recursos adicionales al Tesoro Público.</w:t>
      </w:r>
    </w:p>
    <w:p>
      <w:r>
        <w:t>Lima, ___ de __________ de 20__</w:t>
      </w:r>
    </w:p>
    <w:p>
      <w:r>
        <w:br w:type="page"/>
      </w:r>
    </w:p>
    <w:p>
      <w:pPr>
        <w:pStyle w:val="Heading1"/>
      </w:pPr>
      <w:r>
        <w:t>EXPOSICIÓN DE MOTIVOS</w:t>
      </w:r>
    </w:p>
    <w:p>
      <w:pPr>
        <w:pStyle w:val="Heading2"/>
      </w:pPr>
      <w:r>
        <w:t>I. Fundamentos y problema</w:t>
      </w:r>
    </w:p>
    <w:p>
      <w:pPr>
        <w:jc w:val="both"/>
      </w:pPr>
      <w:r>
        <w:t>La conectividad internacional del Perú depende de un número reducido de cables submarinos que aterrizan en la costa central, como puede verificarse en el mapa público de TeleGeography; una falla simultánea o un desastre en esa zona afectaría a todo el país. El marco vigente no regula de manera específica la autorización de nuevos cables y estaciones de aterrizaje, el acceso abierto a su capacidad ni zonas de protección frente a actividades marítimas. A nivel interno, cuando el tráfico entre usuarios de una misma región debe viajar hasta Lima para intercambiarse, aumentan la latencia y el costo; la Internet Society documenta que los puntos de intercambio de tráfico (IXP) locales reducen ambos. Brasil desarrolló una red de IXP en decenas de ciudades (IX.br). La red pública de fibra cuenta con nodos en capitales de provincia que podrían alojar IXP regionales neutrales.</w:t>
      </w:r>
    </w:p>
    <w:p>
      <w:pPr>
        <w:pStyle w:val="Heading2"/>
      </w:pPr>
      <w:r>
        <w:t>II. Objeto</w:t>
      </w:r>
    </w:p>
    <w:p>
      <w:pPr>
        <w:jc w:val="both"/>
      </w:pPr>
      <w:r>
        <w:t>Fortalecer la resiliencia y la eficiencia de la conectividad internacional y nacional mediante la diversificación de cables submarinos, la protección de su infraestructura y la promoción de IXP regionales.</w:t>
      </w:r>
    </w:p>
    <w:p>
      <w:pPr>
        <w:pStyle w:val="Heading2"/>
      </w:pPr>
      <w:r>
        <w:t>III. Análisis costo-beneficio</w:t>
      </w:r>
    </w:p>
    <w:p>
      <w:pPr>
        <w:jc w:val="both"/>
      </w:pPr>
      <w:r>
        <w:t>Los cables submarinos son inversiones privadas; la ley reduce su costo regulatorio y su riesgo, sin gasto público. El cofinanciamiento de equipamiento de IXP regionales es de bajo monto y se financia con el fondo de acceso universal, aprovechando nodos públicos existentes. El beneficio es mayor resiliencia ante desastres en la costa central, menor latencia y menores costos de tránsito para operadores regionales, lo que se traslada a precios. Las zonas de protección pueden imponer restricciones a la pesca de arrastre en áreas acotadas, que deben delimitarse con participación de los gremios pesqueros.</w:t>
      </w:r>
    </w:p>
    <w:p>
      <w:pPr>
        <w:pStyle w:val="Heading2"/>
      </w:pPr>
      <w:r>
        <w:t>IV. Efecto de la vigencia de la norma sobre la legislación nacional</w:t>
      </w:r>
    </w:p>
    <w:p>
      <w:pPr>
        <w:jc w:val="both"/>
      </w:pPr>
      <w:r>
        <w:t>Complementa la Ley 29904 y la Ley 29664. No deroga normas.</w:t>
      </w:r>
    </w:p>
    <w:p>
      <w:pPr>
        <w:pStyle w:val="Heading2"/>
      </w:pPr>
      <w:r>
        <w:t>V. Antecedentes</w:t>
      </w:r>
    </w:p>
    <w:p>
      <w:pPr>
        <w:jc w:val="both"/>
      </w:pPr>
      <w:r>
        <w:t>Por verificar en SPLEY.</w:t>
      </w:r>
    </w:p>
    <w:p>
      <w:pPr>
        <w:pStyle w:val="Heading2"/>
      </w:pPr>
      <w:r>
        <w:t>VI. Indicador de éxito</w:t>
      </w:r>
    </w:p>
    <w:p>
      <w:pPr>
        <w:jc w:val="both"/>
      </w:pPr>
      <w:r>
        <w:t>Al menos tres IXP regionales operativos fuera de Lima registrados en PeeringDB a 2031; al menos un punto de aterrizaje de cable submarino fuera de la costa central autorizado.</w:t>
      </w:r>
    </w:p>
    <w:p>
      <w:pPr>
        <w:pStyle w:val="Heading2"/>
      </w:pPr>
      <w:r>
        <w:t>VII. Vinculación con la Agenda Legislativa y el Plan Perú 2050</w:t>
      </w:r>
    </w:p>
    <w:p>
      <w:r>
        <w:t>Comisiones temáticas del Plan Perú 2050: Telecomunicaciones, Marítimo, Fluvial y Lacustre, Perú en La Era Digital. ODS: 9, 11.</w:t>
      </w:r>
    </w:p>
    <w:p>
      <w:pPr>
        <w:pStyle w:val="Heading2"/>
      </w:pPr>
      <w:r>
        <w:t>VIII. Referencias</w:t>
      </w:r>
    </w:p>
    <w:p>
      <w:pPr>
        <w:pStyle w:val="ListBullet"/>
      </w:pPr>
      <w:r>
        <w:t>Ley 29904, Ley de Promoción de la Banda Ancha y Construcción de la Red Dorsal Nacional de Fibra Óptica — https://leyes.congreso.gob.pe/Documentos/Leyes/29904.pdf</w:t>
      </w:r>
    </w:p>
    <w:p>
      <w:pPr>
        <w:pStyle w:val="ListBullet"/>
      </w:pPr>
      <w:r>
        <w:t>Ley 28900, Ley que otorga al Fondo de Inversión en Telecomunicaciones - FITEL la calidad de persona jurídica de derecho público — https://leyes.congreso.gob.pe/Documentos/Leyes/28900.pdf</w:t>
      </w:r>
    </w:p>
    <w:p>
      <w:pPr>
        <w:pStyle w:val="ListBullet"/>
      </w:pPr>
      <w:r>
        <w:t>Ley 29664, Ley que crea el Sistema Nacional de Gestión del Riesgo de Desastres (SINAGERD) — https://leyes.congreso.gob.pe/Documentos/Leyes/29664.pdf</w:t>
      </w:r>
    </w:p>
    <w:p>
      <w:pPr>
        <w:pStyle w:val="ListBullet"/>
      </w:pPr>
      <w:r>
        <w:t>Ley 27332, Ley Marco de los Organismos Reguladores de la Inversión Privada en los Servicios Públicos — https://leyes.congreso.gob.pe/Documentos/Leyes/27332.pdf</w:t>
      </w:r>
    </w:p>
    <w:p>
      <w:pPr>
        <w:pStyle w:val="ListBullet"/>
      </w:pPr>
      <w:r>
        <w:t>Unión Europea: Recomendación (UE) 2024/779 sobre la seguridad y resiliencia de las infraestructuras de cables submarinos — https://digital-strategy.ec.europa.eu/en/library/recommendation-security-and-resilience-submarine-cable-infrastructures</w:t>
      </w:r>
    </w:p>
    <w:p>
      <w:pPr>
        <w:pStyle w:val="ListBullet"/>
      </w:pPr>
      <w:r>
        <w:t>Brasil: IX.br, sistema de puntos de intercambio de tráfico operado por NIC.br — https://ix.br/</w:t>
      </w:r>
    </w:p>
    <w:p>
      <w:pPr>
        <w:pStyle w:val="ListBullet"/>
      </w:pPr>
      <w:r>
        <w:t>TeleGeography, Submarine Cable Map — https://www.submarinecablemap.com/</w:t>
      </w:r>
    </w:p>
    <w:p>
      <w:pPr>
        <w:pStyle w:val="ListBullet"/>
      </w:pPr>
      <w:r>
        <w:t>Internet Society, Internet Exchange Points (IXPs) — https://www.internetsociety.org/issues/ixps/</w:t>
      </w:r>
    </w:p>
    <w:p>
      <w:pPr>
        <w:pStyle w:val="ListBullet"/>
      </w:pPr>
      <w:r>
        <w:t>PeeringDB, base de datos de interconexión (IXP y centros de datos) — https://www.peeringdb.com/</w:t>
      </w:r>
    </w:p>
    <w:p>
      <w:r>
        <w:t>Fuente: Agenda Legislativa Tech Perú 2026–2031 (https://unimauro.github.io/agenda-legislativa-tech/p/CON-11.html),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promueve la diversificación de cables submarinos, la protección de sus estaciones de aterrizaje y los puntos de intercambio de tráfico de internet regionales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