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MARCO DEL SISTEMA DE FINANZAS ABIERTAS Y DEL DERECHO A LA PORTABILIDAD DE LOS DATOS FINANCIEROS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MARCO DEL SISTEMA DE FINANZAS ABIERTAS Y DEL DERECHO A LA PORTABILIDAD DE LOS DATOS FINANCIEROS</w:t>
      </w:r>
    </w:p>
    <w:p>
      <w:pPr>
        <w:jc w:val="both"/>
      </w:pPr>
      <w:r>
        <w:rPr>
          <w:b/>
        </w:rPr>
        <w:t>Artículo 1. Objeto</w:t>
        <w:br/>
      </w:r>
      <w:r>
        <w:t>La presente ley tiene por objeto establecer el marco legal del Sistema de Finanzas Abiertas, a fin de promover la competencia, la innovación y la inclusión financiera mediante el intercambio seguro de datos de clientes financieros, con su consentimiento, entre entidades participantes.</w:t>
      </w:r>
    </w:p>
    <w:p>
      <w:pPr>
        <w:jc w:val="both"/>
      </w:pPr>
      <w:r>
        <w:rPr>
          <w:b/>
        </w:rPr>
        <w:t>Artículo 2. Derecho a la portabilidad de datos financieros</w:t>
        <w:br/>
      </w:r>
      <w:r>
        <w:t>Todo usuario de servicios financieros tiene derecho a acceder a sus datos financieros y a autorizar, de manera expresa, informada, específica y revocable, que sean compartidos con terceros participantes del Sistema de Finanzas Abiertas, en formato estructurado, interoperable y de uso común, sin costo para el usuario.</w:t>
      </w:r>
    </w:p>
    <w:p>
      <w:pPr>
        <w:jc w:val="both"/>
      </w:pPr>
      <w:r>
        <w:rPr>
          <w:b/>
        </w:rPr>
        <w:t>Artículo 3. Participantes</w:t>
        <w:br/>
      </w:r>
      <w:r>
        <w:t>Son participantes del Sistema: a) las empresas del sistema financiero, de seguros y las administradoras privadas de fondos de pensiones, en las categorías que determine la SBS; b) las empresas emisoras de dinero electrónico; c) los proveedores de servicios basados en datos e iniciadores de pago que se inscriban en el registro a cargo de la SBS; y d) otras entidades que la SBS incorpore gradualmente, en función de su tamaño y del volumen de datos que administran.</w:t>
      </w:r>
    </w:p>
    <w:p>
      <w:pPr>
        <w:jc w:val="both"/>
      </w:pPr>
      <w:r>
        <w:rPr>
          <w:b/>
        </w:rPr>
        <w:t>Artículo 4. Rectoría y regulación</w:t>
        <w:br/>
      </w:r>
      <w:r>
        <w:t>La SBS es la autoridad competente para regular, supervisar y sancionar el funcionamiento del Sistema, incluyendo los estándares técnicos de las interfaces, los requisitos de seguridad, el registro de participantes y el calendario de implementación gradual. En lo referido a iniciación de pagos, coordina con el Banco Central de Reserva del Perú, conforme a la autonomía que le reconoce la Constitución.</w:t>
      </w:r>
    </w:p>
    <w:p>
      <w:pPr>
        <w:jc w:val="both"/>
      </w:pPr>
      <w:r>
        <w:rPr>
          <w:b/>
        </w:rPr>
        <w:t>Artículo 5. Principios</w:t>
        <w:br/>
      </w:r>
      <w:r>
        <w:t>El Sistema se rige por los principios de consentimiento del usuario, seguridad de la información, reciprocidad entre participantes, proporcionalidad regulatoria según tamaño y riesgo, no discriminación en el acceso e interoperabilidad técnica.</w:t>
      </w:r>
    </w:p>
    <w:p>
      <w:pPr>
        <w:jc w:val="both"/>
      </w:pPr>
      <w:r>
        <w:rPr>
          <w:b/>
        </w:rPr>
        <w:t>Artículo 6. Protección de datos personales</w:t>
        <w:br/>
      </w:r>
      <w:r>
        <w:t>El tratamiento de datos en el Sistema se sujeta a la Ley 29733, Ley de Protección de Datos Personales. La SBS y la Autoridad Nacional de Protección de Datos Personales suscriben un convenio de coordinación para evitar duplicidad de supervisión.</w:t>
      </w:r>
    </w:p>
    <w:p>
      <w:pPr>
        <w:jc w:val="both"/>
      </w:pPr>
      <w:r>
        <w:rPr>
          <w:b/>
        </w:rPr>
        <w:t>Artículo 7. Responsabilidad</w:t>
        <w:br/>
      </w:r>
      <w:r>
        <w:t>Cada participante es responsable por la seguridad de los datos bajo su custodia y por el uso de los datos recibidos únicamente para la finalidad autorizada por el usuario. Las entidades proveedoras de datos no pueden condicionar ni cobrar al usuario por el ejercicio del derecho del artículo 2.</w:t>
      </w:r>
    </w:p>
    <w:p>
      <w:pPr>
        <w:jc w:val="both"/>
      </w:pPr>
      <w:r>
        <w:rPr>
          <w:b/>
        </w:rPr>
        <w:t>Artículo 8. Tarifas entre participantes</w:t>
        <w:br/>
      </w:r>
      <w:r>
        <w:t>La SBS puede establecer criterios para las contraprestaciones entre participantes por el uso de las interfaces, orientados a costos y no discriminatorios, de modo que no constituyan barreras de entrada.</w:t>
      </w:r>
    </w:p>
    <w:p>
      <w:pPr>
        <w:jc w:val="both"/>
      </w:pPr>
      <w:r>
        <w:rPr>
          <w:b/>
        </w:rPr>
        <w:t>Artículo 9. Financiamiento</w:t>
        <w:br/>
      </w:r>
      <w:r>
        <w:t>La implementación de la presente ley se financia con cargo al presupuesto institucional de la SBS, sin demandar recursos adicionales al Tesoro Público.</w:t>
      </w:r>
    </w:p>
    <w:p>
      <w:pPr>
        <w:jc w:val="both"/>
      </w:pPr>
      <w:r>
        <w:rPr>
          <w:b/>
        </w:rPr>
        <w:t>Primera. Disposición Complementaria Final</w:t>
        <w:br/>
      </w:r>
      <w:r>
        <w:t>La SBS adecúa su reglamentación del Sistema de Finanzas Abiertas a la presente ley en un plazo de ciento ochenta días hábiles, preservando los avances regulatorios vigentes.</w:t>
      </w:r>
    </w:p>
    <w:p>
      <w:pPr>
        <w:jc w:val="both"/>
      </w:pPr>
      <w:r>
        <w:rPr>
          <w:b/>
        </w:rPr>
        <w:t>Segunda. Disposición Complementaria Final</w:t>
        <w:br/>
      </w:r>
      <w:r>
        <w:t>La implementación es gradual. La SBS publica el calendario por tipo de participante y de dato, iniciando por cuentas de depósito y tarjetas de crédito.</w:t>
      </w:r>
    </w:p>
    <w:p>
      <w:r>
        <w:t>Lima, ___ de __________ de 20__</w:t>
      </w:r>
    </w:p>
    <w:p>
      <w:r>
        <w:br w:type="page"/>
      </w:r>
    </w:p>
    <w:p>
      <w:pPr>
        <w:pStyle w:val="Heading1"/>
      </w:pPr>
      <w:r>
        <w:t>EXPOSICIÓN DE MOTIVOS</w:t>
      </w:r>
    </w:p>
    <w:p>
      <w:pPr>
        <w:pStyle w:val="Heading2"/>
      </w:pPr>
      <w:r>
        <w:t>I. Fundamentos y problema</w:t>
      </w:r>
    </w:p>
    <w:p>
      <w:pPr>
        <w:jc w:val="both"/>
      </w:pPr>
      <w:r>
        <w:t>La Superintendencia de Banca, Seguros y AFP (SBS) viene implementando una hoja de ruta de finanzas abiertas: en octubre de 2026 publicó para comentarios el primer bloque del Reglamento General del Sistema de Finanzas Abiertas, y la prensa especializada reporta una implementación gradual con los principales bancos hacia 2028. Sin embargo, este avance descansa en normas reglamentarias, sin una ley que reconozca el derecho del usuario a la portabilidad de sus datos financieros, que obligue a participar a entidades fuera del perímetro de supervisión de la SBS (por ejemplo, empresas fintech no reguladas o comercios con información crediticia) ni que articule las competencias de la SBS, el BCRP y la Autoridad Nacional de Protección de Datos Personales. Sin base legal, los incentivos a compartir datos son asimétricos: las entidades con más información tienen poco interés en abrirla. Chile resolvió esto con la Ley 21.521 (Ley Fintec), que creó por ley un sistema de finanzas abiertas; la Unión Europea lo hizo con la Directiva PSD2. Una ley marco daría estabilidad, protegería al usuario y reduciría riesgos de litigio sobre la base legal de la obligación de compartir datos.</w:t>
      </w:r>
    </w:p>
    <w:p>
      <w:pPr>
        <w:pStyle w:val="Heading2"/>
      </w:pPr>
      <w:r>
        <w:t>II. Objeto</w:t>
      </w:r>
    </w:p>
    <w:p>
      <w:pPr>
        <w:jc w:val="both"/>
      </w:pPr>
      <w:r>
        <w:t>Establecer el marco legal del sistema de finanzas abiertas y reconocer el derecho a la portabilidad de datos financieros.</w:t>
      </w:r>
    </w:p>
    <w:p>
      <w:pPr>
        <w:pStyle w:val="Heading2"/>
      </w:pPr>
      <w:r>
        <w:t>III. Análisis costo-beneficio</w:t>
      </w:r>
    </w:p>
    <w:p>
      <w:pPr>
        <w:jc w:val="both"/>
      </w:pPr>
      <w:r>
        <w:t>No genera gasto público: la SBS se financia con contribuciones de las entidades supervisadas. Los costos recaen en los participantes (desarrollo de interfaces, seguridad), y se mitigan con implementación gradual y proporcionalidad. Los beneficios esperados son mayor competencia en crédito y medios de pago, mejores condiciones para usuarios que hoy no pueden demostrar su historial ante nuevos proveedores, e inclusión financiera de MYPE con información transaccional. El principal riesgo es de seguridad y uso indebido de datos, mitigado con consentimiento revocable, registro de participantes y coordinación con la autoridad de datos personales.</w:t>
      </w:r>
    </w:p>
    <w:p>
      <w:pPr>
        <w:pStyle w:val="Heading2"/>
      </w:pPr>
      <w:r>
        <w:t>IV. Efecto de la vigencia de la norma sobre la legislación nacional</w:t>
      </w:r>
    </w:p>
    <w:p>
      <w:pPr>
        <w:jc w:val="both"/>
      </w:pPr>
      <w:r>
        <w:t>Complementa la Ley 26702 (Ley General del Sistema Financiero), la Ley 29440 y la Ley 29733. Da base legal a la regulación de finanzas abiertas de la SBS. No deroga normas.</w:t>
      </w:r>
    </w:p>
    <w:p>
      <w:pPr>
        <w:pStyle w:val="Heading2"/>
      </w:pPr>
      <w:r>
        <w:t>V. Antecedentes</w:t>
      </w:r>
    </w:p>
    <w:p>
      <w:pPr>
        <w:jc w:val="both"/>
      </w:pPr>
      <w:r>
        <w:t>Por verificar en SPLEY.</w:t>
      </w:r>
    </w:p>
    <w:p>
      <w:pPr>
        <w:pStyle w:val="Heading2"/>
      </w:pPr>
      <w:r>
        <w:t>VI. Indicador de éxito</w:t>
      </w:r>
    </w:p>
    <w:p>
      <w:pPr>
        <w:jc w:val="both"/>
      </w:pPr>
      <w:r>
        <w:t>Al 2031, los principales bancos y emisores de dinero electrónico intercambian datos de cuentas y tarjetas mediante interfaces estandarizadas, con registro público de participantes de la SBS.</w:t>
      </w:r>
    </w:p>
    <w:p>
      <w:pPr>
        <w:pStyle w:val="Heading2"/>
      </w:pPr>
      <w:r>
        <w:t>VII. Vinculación con la Agenda Legislativa y el Plan Perú 2050</w:t>
      </w:r>
    </w:p>
    <w:p>
      <w:r>
        <w:t>Comisiones temáticas del Plan Perú 2050: Banca, Transformación Digital, Competitividad. ODS: 8, 9, 10.</w:t>
      </w:r>
    </w:p>
    <w:p>
      <w:pPr>
        <w:pStyle w:val="Heading2"/>
      </w:pPr>
      <w:r>
        <w:t>VIII. Referencias</w:t>
      </w:r>
    </w:p>
    <w:p>
      <w:pPr>
        <w:pStyle w:val="ListBullet"/>
      </w:pPr>
      <w:r>
        <w:t>Ley 29733, Ley de Protección de Datos Personales — https://www.leyes.congreso.gob.pe/Documentos/Leyes/29733.pdf</w:t>
      </w:r>
    </w:p>
    <w:p>
      <w:pPr>
        <w:pStyle w:val="ListBullet"/>
      </w:pPr>
      <w:r>
        <w:t>Ley 29440, Ley de los Sistemas de Pagos y de Liquidación de Valores — https://www.leyes.congreso.gob.pe/Documentos/Leyes/29440.pdf</w:t>
      </w:r>
    </w:p>
    <w:p>
      <w:pPr>
        <w:pStyle w:val="ListBullet"/>
      </w:pPr>
      <w:r>
        <w:t>Circular 0024-2022-BCRP, Reglamento de Interoperabilidad de los Servicios de Pago — https://www.bcrp.gob.pe/docs/Transparencia/Normas-Legales/Circulares/2022/circular-0024-2022-bcrp.pdf</w:t>
      </w:r>
    </w:p>
    <w:p>
      <w:pPr>
        <w:pStyle w:val="ListBullet"/>
      </w:pPr>
      <w:r>
        <w:t>Chile: Ley 21.521 (Ley Fintec), incluye sistema de finanzas abiertas y financiamiento colectivo — https://bcn.cl/3ayrx</w:t>
      </w:r>
    </w:p>
    <w:p>
      <w:pPr>
        <w:pStyle w:val="ListBullet"/>
      </w:pPr>
      <w:r>
        <w:t>Unión Europea: Directiva (UE) 2015/2366 sobre servicios de pago (PSD2), acceso a cuentas e iniciación de pagos — https://eur-lex.europa.eu/eli/dir/2015/2366/oj</w:t>
      </w:r>
    </w:p>
    <w:p>
      <w:pPr>
        <w:pStyle w:val="ListBullet"/>
      </w:pPr>
      <w:r>
        <w:t>El Peruano — SBS fija ruta regulatoria (finanzas abiertas y BaaS) — https://elperuano.pe/noticia/298729-sbs-fija-ruta-regulatoria</w:t>
      </w:r>
    </w:p>
    <w:p>
      <w:pPr>
        <w:pStyle w:val="ListBullet"/>
      </w:pPr>
      <w:r>
        <w:t>Superintendencia de Banca, Seguros y AFP (SBS) — https://www.sbs.gob.pe/</w:t>
      </w:r>
    </w:p>
    <w:p>
      <w:pPr>
        <w:pStyle w:val="ListBullet"/>
      </w:pPr>
      <w:r>
        <w:t>Ley 21.521 (Chile) — texto en BCN — https://bcn.cl/3ayrx</w:t>
      </w:r>
    </w:p>
    <w:p>
      <w:r>
        <w:t>Fuente: Agenda Legislativa Tech Perú 2026–2031 (https://unimauro.github.io/agenda-legislativa-tech/p/ECO-06.html),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marco del sistema de finanzas abiertas y del derecho a la portabilidad de los datos financieros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