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MODIFICA EL DECRETO DE URGENCIA 013-2020 PARA FORTALECER EL FINANCIAMIENTO PARTICIPATIVO FINANCIERO DE EMPRESAS EMERGENTES Y MIPYME</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MODIFICA EL DECRETO DE URGENCIA 013-2020 PARA FORTALECER EL FINANCIAMIENTO PARTICIPATIVO FINANCIERO DE EMPRESAS EMERGENTES Y MIPYME</w:t>
      </w:r>
    </w:p>
    <w:p>
      <w:pPr>
        <w:jc w:val="both"/>
      </w:pPr>
      <w:r>
        <w:rPr>
          <w:b/>
        </w:rPr>
        <w:t>Artículo 1. Objeto</w:t>
        <w:br/>
      </w:r>
      <w:r>
        <w:t>La presente ley tiene por objeto modificar el Título del Decreto de Urgencia 013-2020 referido al financiamiento participativo financiero, a fin de facilitar el acceso de empresas emergentes y MIPYME a esta fuente de financiamiento y fortalecer la protección de los inversionistas.</w:t>
      </w:r>
    </w:p>
    <w:p>
      <w:pPr>
        <w:jc w:val="both"/>
      </w:pPr>
      <w:r>
        <w:rPr>
          <w:b/>
        </w:rPr>
        <w:t>Artículo 2. Vehículos de inversión</w:t>
        <w:br/>
      </w:r>
      <w:r>
        <w:t>Las sociedades administradoras de plataformas de financiamiento participativo financiero pueden estructurar, conforme a la regulación de la SMV, vehículos de propósito especial que agrupen a los inversionistas de un proyecto de la modalidad de valores, de modo que estos participen indirectamente en el capital del receptor a través de un único accionista.</w:t>
      </w:r>
    </w:p>
    <w:p>
      <w:pPr>
        <w:jc w:val="both"/>
      </w:pPr>
      <w:r>
        <w:rPr>
          <w:b/>
        </w:rPr>
        <w:t>Artículo 3. Transferencia entre inversionistas</w:t>
        <w:br/>
      </w:r>
      <w:r>
        <w:t>Las sociedades administradoras pueden habilitar, previa autorización de la SMV, un tablón de anuncios que permita a los inversionistas de la plataforma ofrecer y transferir entre sí los valores o derechos de crédito adquiridos, sin que ello constituya un mecanismo centralizado de negociación, conforme a los límites y requisitos que establezca la SMV.</w:t>
      </w:r>
    </w:p>
    <w:p>
      <w:pPr>
        <w:jc w:val="both"/>
      </w:pPr>
      <w:r>
        <w:rPr>
          <w:b/>
        </w:rPr>
        <w:t>Artículo 4. Límites proporcionales</w:t>
        <w:br/>
      </w:r>
      <w:r>
        <w:t>La SMV establece límites de financiamiento por proyecto y de inversión por inversionista no institucional, diferenciados según el perfil del inversionista y la modalidad, y los revisa periódicamente con base en el desempeño del mercado.</w:t>
      </w:r>
    </w:p>
    <w:p>
      <w:pPr>
        <w:jc w:val="both"/>
      </w:pPr>
      <w:r>
        <w:rPr>
          <w:b/>
        </w:rPr>
        <w:t>Artículo 5. Información al inversionista</w:t>
        <w:br/>
      </w:r>
      <w:r>
        <w:t>Antes de invertir, el inversionista recibe una ficha estandarizada con información esencial del proyecto, riesgos, iliquidez y posibilidad de pérdida total, y declara haberla comprendido. La sociedad administradora conserva la evidencia de dicha aceptación.</w:t>
      </w:r>
    </w:p>
    <w:p>
      <w:pPr>
        <w:jc w:val="both"/>
      </w:pPr>
      <w:r>
        <w:rPr>
          <w:b/>
        </w:rPr>
        <w:t>Artículo 6. Financiamiento participativo no financiero</w:t>
        <w:br/>
      </w:r>
      <w:r>
        <w:t>Las campañas de financiamiento participativo de donación o recompensa no constituyen actividad regulada por la SMV. Las plataformas que las gestionan informan al público la identidad del promotor, el destino de los fondos y las condiciones de devolución, y se sujetan al Código de Protección y Defensa del Consumidor en lo que corresponda.</w:t>
      </w:r>
    </w:p>
    <w:p>
      <w:pPr>
        <w:jc w:val="both"/>
      </w:pPr>
      <w:r>
        <w:rPr>
          <w:b/>
        </w:rPr>
        <w:t>Artículo 7. Coordinación</w:t>
        <w:br/>
      </w:r>
      <w:r>
        <w:t>La SMV y la SBS coordinan la supervisión cuando una sociedad administradora o los receptores realicen actividades sujetas a la competencia de ambas entidades.</w:t>
      </w:r>
    </w:p>
    <w:p>
      <w:pPr>
        <w:jc w:val="both"/>
      </w:pPr>
      <w:r>
        <w:rPr>
          <w:b/>
        </w:rPr>
        <w:t>Artículo 8. Financiamiento</w:t>
        <w:br/>
      </w:r>
      <w:r>
        <w:t>La aplicación de la presente ley se financia con cargo al presupuesto institucional de la SMV, sin demandar recursos adicionales al Tesoro Público.</w:t>
      </w:r>
    </w:p>
    <w:p>
      <w:pPr>
        <w:jc w:val="both"/>
      </w:pPr>
      <w:r>
        <w:rPr>
          <w:b/>
        </w:rPr>
        <w:t>Primera. Disposición Complementaria Final</w:t>
        <w:br/>
      </w:r>
      <w:r>
        <w:t>La SMV adecúa la Resolución SMV 045-2021-SMV/02 a la presente ley en un plazo de ciento ochenta días hábiles.</w:t>
      </w:r>
    </w:p>
    <w:p>
      <w:pPr>
        <w:jc w:val="both"/>
      </w:pPr>
      <w:r>
        <w:rPr>
          <w:b/>
        </w:rPr>
        <w:t>Segunda. Disposición Complementaria Final</w:t>
        <w:br/>
      </w:r>
      <w:r>
        <w:t>La SMV publica anualmente estadísticas del mercado de financiamiento participativo financiero por modalidad, número de proyectos, monto financiado y tasa de incumplimiento.</w:t>
      </w:r>
    </w:p>
    <w:p>
      <w:r>
        <w:t>Lima, ___ de __________ de 20__</w:t>
      </w:r>
    </w:p>
    <w:p>
      <w:r>
        <w:br w:type="page"/>
      </w:r>
    </w:p>
    <w:p>
      <w:pPr>
        <w:pStyle w:val="Heading1"/>
      </w:pPr>
      <w:r>
        <w:t>EXPOSICIÓN DE MOTIVOS</w:t>
      </w:r>
    </w:p>
    <w:p>
      <w:pPr>
        <w:pStyle w:val="Heading2"/>
      </w:pPr>
      <w:r>
        <w:t>I. Fundamentos y problema</w:t>
      </w:r>
    </w:p>
    <w:p>
      <w:pPr>
        <w:jc w:val="both"/>
      </w:pPr>
      <w:r>
        <w:t>El Decreto de Urgencia 013-2020 reconoció la actividad de financiamiento participativo financiero (crowdfunding de préstamos y de valores) y encargó a la Superintendencia del Mercado de Valores (SMV) su regulación, lo que se concretó con la Resolución SMV 045-2021-SMV/02, vigente desde mayo de 2021. Desde entonces la SMV ha autorizado a sociedades administradoras de plataformas. Sin embargo, la modalidad de valores, que permitiría a empresas emergentes captar capital de muchos inversionistas, ha tenido menor desarrollo que la de préstamos. Entre las razones señaladas por operadores figuran la falta de un mecanismo legal para que los inversionistas transfieran sus participaciones entre sí dentro de la plataforma (lo que reduce la liquidez), la ausencia de reconocimiento de vehículos de inversión colectiva que simplifiquen la tabla de accionistas de la empresa financiada, y la falta de claridad sobre el régimen aplicable a campañas de donación o recompensa, que no están bajo la SMV. Chile (Ley 21.521) y España (Ley 28/2022 y su normativa de plataformas) han ajustado sus marcos para dar mayor flexibilidad manteniendo la protección del inversionista minorista.</w:t>
      </w:r>
    </w:p>
    <w:p>
      <w:pPr>
        <w:pStyle w:val="Heading2"/>
      </w:pPr>
      <w:r>
        <w:t>II. Objeto</w:t>
      </w:r>
    </w:p>
    <w:p>
      <w:pPr>
        <w:jc w:val="both"/>
      </w:pPr>
      <w:r>
        <w:t>Modificar el régimen legal del financiamiento participativo para facilitar su uso por empresas emergentes y MIPYME, manteniendo la protección del inversionista.</w:t>
      </w:r>
    </w:p>
    <w:p>
      <w:pPr>
        <w:pStyle w:val="Heading2"/>
      </w:pPr>
      <w:r>
        <w:t>III. Análisis costo-beneficio</w:t>
      </w:r>
    </w:p>
    <w:p>
      <w:pPr>
        <w:jc w:val="both"/>
      </w:pPr>
      <w:r>
        <w:t>No genera gasto público; la SMV supervisa con su presupuesto institucional financiado con contribuciones del mercado. Los costos recaen en las plataformas (estructuración de vehículos, tablón de anuncios), que son opcionales. Los beneficios son ampliar una fuente de capital para emergentes y MIPYME que no acceden a crédito bancario, mejorar la liquidez de los inversionistas y ordenar las campañas de donación o recompensa. El riesgo de pérdidas para minoristas se mitiga con límites proporcionales, ficha estandarizada y supervisión de la SMV.</w:t>
      </w:r>
    </w:p>
    <w:p>
      <w:pPr>
        <w:pStyle w:val="Heading2"/>
      </w:pPr>
      <w:r>
        <w:t>IV. Efecto de la vigencia de la norma sobre la legislación nacional</w:t>
      </w:r>
    </w:p>
    <w:p>
      <w:pPr>
        <w:jc w:val="both"/>
      </w:pPr>
      <w:r>
        <w:t>Modifica e incorpora disposiciones en el Título del Decreto de Urgencia 013-2020 referido al financiamiento participativo financiero. Complementa la Resolución SMV 045-2021-SMV/02.</w:t>
      </w:r>
    </w:p>
    <w:p>
      <w:pPr>
        <w:pStyle w:val="Heading2"/>
      </w:pPr>
      <w:r>
        <w:t>V. Antecedentes</w:t>
      </w:r>
    </w:p>
    <w:p>
      <w:pPr>
        <w:jc w:val="both"/>
      </w:pPr>
      <w:r>
        <w:t>Por verificar en SPLEY.</w:t>
      </w:r>
    </w:p>
    <w:p>
      <w:pPr>
        <w:pStyle w:val="Heading2"/>
      </w:pPr>
      <w:r>
        <w:t>VI. Indicador de éxito</w:t>
      </w:r>
    </w:p>
    <w:p>
      <w:pPr>
        <w:jc w:val="both"/>
      </w:pPr>
      <w:r>
        <w:t>Al 2031, estadística anual publicada por la SMV que muestre crecimiento del monto financiado en la modalidad de valores respecto de 2026.</w:t>
      </w:r>
    </w:p>
    <w:p>
      <w:pPr>
        <w:pStyle w:val="Heading2"/>
      </w:pPr>
      <w:r>
        <w:t>VII. Vinculación con la Agenda Legislativa y el Plan Perú 2050</w:t>
      </w:r>
    </w:p>
    <w:p>
      <w:r>
        <w:t>Comisiones temáticas del Plan Perú 2050: Emprendimiento, Mipymes, Banca. ODS: 8, 9.</w:t>
      </w:r>
    </w:p>
    <w:p>
      <w:pPr>
        <w:pStyle w:val="Heading2"/>
      </w:pPr>
      <w:r>
        <w:t>VIII. Referencias</w:t>
      </w:r>
    </w:p>
    <w:p>
      <w:pPr>
        <w:pStyle w:val="ListBullet"/>
      </w:pPr>
      <w:r>
        <w:t>Decreto de Urgencia 013-2020, que promueve el financiamiento de la MIPYME, emprendimientos y startups — https://www.mef.gob.pe/es/notas-de-prensa-y-comunicados/6266-gobierno-promueve-el-financiamiento-para-las-mipymes-emprendimientos-y-startups</w:t>
      </w:r>
    </w:p>
    <w:p>
      <w:pPr>
        <w:pStyle w:val="ListBullet"/>
      </w:pPr>
      <w:r>
        <w:t>Resolución SMV 045-2021-SMV/02, Reglamento de la actividad de financiamiento participativo financiero — https://cdn.www.gob.pe/uploads/document/file/4193192/RSUP%20045-2021%20-%20Aprobaci%C3%B3n%20Reglamento%20FPF.pdf.pdf</w:t>
      </w:r>
    </w:p>
    <w:p>
      <w:pPr>
        <w:pStyle w:val="ListBullet"/>
      </w:pPr>
      <w:r>
        <w:t>Ley 29571, Código de Protección y Defensa del Consumidor — https://www.leyes.congreso.gob.pe/Documentos/Leyes/29571.pdf</w:t>
      </w:r>
    </w:p>
    <w:p>
      <w:pPr>
        <w:pStyle w:val="ListBullet"/>
      </w:pPr>
      <w:r>
        <w:t>Chile: Ley 21.521 (Ley Fintec), incluye sistema de finanzas abiertas y financiamiento colectivo — https://bcn.cl/3ayrx</w:t>
      </w:r>
    </w:p>
    <w:p>
      <w:pPr>
        <w:pStyle w:val="ListBullet"/>
      </w:pPr>
      <w:r>
        <w:t>España: Ley 28/2022, de fomento del ecosistema de las empresas emergentes — https://www.boe.es/buscar/act.php?id=BOE-A-2022-21739</w:t>
      </w:r>
    </w:p>
    <w:p>
      <w:pPr>
        <w:pStyle w:val="ListBullet"/>
      </w:pPr>
      <w:r>
        <w:t>Brasil: Lei Complementar 182/2021, Marco Legal das Startups — https://www.planalto.gov.br/ccivil_03/leis/lcp/lcp182.htm</w:t>
      </w:r>
    </w:p>
    <w:p>
      <w:pPr>
        <w:pStyle w:val="ListBullet"/>
      </w:pPr>
      <w:r>
        <w:t>SMV — Resolución 045-2021-SMV/02 (Reglamento de financiamiento participativo financiero) — https://cdn.www.gob.pe/uploads/document/file/4193192/RSUP%20045-2021%20-%20Aprobaci%C3%B3n%20Reglamento%20FPF.pdf.pdf</w:t>
      </w:r>
    </w:p>
    <w:p>
      <w:pPr>
        <w:pStyle w:val="ListBullet"/>
      </w:pPr>
      <w:r>
        <w:t>Superintendencia del Mercado de Valores (SMV) — https://www.smv.gob.pe/</w:t>
      </w:r>
    </w:p>
    <w:p>
      <w:pPr>
        <w:pStyle w:val="ListBullet"/>
      </w:pPr>
      <w:r>
        <w:t>MEF — Nota de prensa sobre el DU 013-2020 — https://www.mef.gob.pe/es/notas-de-prensa-y-comunicados/6266-gobierno-promueve-el-financiamiento-para-las-mipymes-emprendimientos-y-startups</w:t>
      </w:r>
    </w:p>
    <w:p>
      <w:r>
        <w:t>Fuente: Agenda Legislativa Tech Perú 2026–2031 (https://unimauro.github.io/agenda-legislativa-tech/p/ECO-09.html),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modifica el Decreto de Urgencia 013-2020 para fortalecer el financiamiento participativo financiero de empresas emergentes y MIPYME</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