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EL PAGO OPORTUNO A LA MYPE MEDIANTE LA CONFORMIDAD ELECTRÓNICA DE FACTURAS Y EL FINANCIAMIENTO CON FACTURA NEGOCIABLE</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EL PAGO OPORTUNO A LA MYPE MEDIANTE LA CONFORMIDAD ELECTRÓNICA DE FACTURAS Y EL FINANCIAMIENTO CON FACTURA NEGOCIABLE</w:t>
      </w:r>
    </w:p>
    <w:p>
      <w:pPr>
        <w:jc w:val="both"/>
      </w:pPr>
      <w:r>
        <w:rPr>
          <w:b/>
        </w:rPr>
        <w:t>Artículo 1. Objeto</w:t>
        <w:br/>
      </w:r>
      <w:r>
        <w:t>La presente ley tiene por objeto fortalecer el cumplimiento de la Ley 31362, Ley de pago de facturas MYPE a treinta días, mediante el uso del sistema de emisión electrónica de la SUNAT y su articulación con la factura negociable regulada por la Ley 29623.</w:t>
      </w:r>
    </w:p>
    <w:p>
      <w:pPr>
        <w:jc w:val="both"/>
      </w:pPr>
      <w:r>
        <w:rPr>
          <w:b/>
        </w:rPr>
        <w:t>Artículo 2. Conformidad electrónica</w:t>
        <w:br/>
      </w:r>
      <w:r>
        <w:t>El adquirente de bienes o usuario de servicios que reciba una factura electrónica emitida por una MYPE registra su conformidad o disconformidad, con indicación de la causa, a través del sistema que habilite la SUNAT, en el plazo establecido en la Ley 29623. A falta de registro en dicho plazo, se presume la conformidad para efectos de la referida ley.</w:t>
      </w:r>
    </w:p>
    <w:p>
      <w:pPr>
        <w:jc w:val="both"/>
      </w:pPr>
      <w:r>
        <w:rPr>
          <w:b/>
        </w:rPr>
        <w:t>Artículo 3. Registro de pago</w:t>
        <w:br/>
      </w:r>
      <w:r>
        <w:t>Los adquirentes que sean principales contribuyentes registran en el sistema de la SUNAT la fecha de pago de las facturas emitidas por MYPE, en la forma y plazo que establezca la SUNAT, aprovechando la información del sistema financiero cuando sea posible para no duplicar cargas.</w:t>
      </w:r>
    </w:p>
    <w:p>
      <w:pPr>
        <w:jc w:val="both"/>
      </w:pPr>
      <w:r>
        <w:rPr>
          <w:b/>
        </w:rPr>
        <w:t>Artículo 4. Indicadores públicos de plazo de pago</w:t>
        <w:br/>
      </w:r>
      <w:r>
        <w:t>La SUNAT publica semestralmente, en formato de datos abiertos, el plazo promedio de pago a MYPE de los adquirentes que sean principales contribuyentes y de las entidades públicas, así como el porcentaje de facturas pagadas dentro de los treinta días. Incorpórase la publicación de estos indicadores agregados como excepción a la reserva tributaria prevista en el artículo 85 del Texto Único Ordenado del Código Tributario, sin que pueda revelarse información de comprobantes individuales.</w:t>
      </w:r>
    </w:p>
    <w:p>
      <w:pPr>
        <w:jc w:val="both"/>
      </w:pPr>
      <w:r>
        <w:rPr>
          <w:b/>
        </w:rPr>
        <w:t>Artículo 5. Alertas de mora</w:t>
        <w:br/>
      </w:r>
      <w:r>
        <w:t>El sistema de la SUNAT emite alertas automáticas al adquirente y a la MYPE cuando una factura supere el plazo legal de pago sin registro de pago, y pone a disposición de la MYPE una constancia electrónica que acredita el vencimiento, útil para el cobro de intereses moratorios y para su negociación.</w:t>
      </w:r>
    </w:p>
    <w:p>
      <w:pPr>
        <w:jc w:val="both"/>
      </w:pPr>
      <w:r>
        <w:rPr>
          <w:b/>
        </w:rPr>
        <w:t>Artículo 6. Entidades públicas</w:t>
        <w:br/>
      </w:r>
      <w:r>
        <w:t>Las entidades públicas registran la conformidad y la fecha de pago de las facturas de proveedores MYPE en los sistemas de gestión financiera del Estado, integrados con el sistema de la SUNAT. El plazo promedio de pago de cada entidad se publica conforme al artículo 4.</w:t>
      </w:r>
    </w:p>
    <w:p>
      <w:pPr>
        <w:jc w:val="both"/>
      </w:pPr>
      <w:r>
        <w:rPr>
          <w:b/>
        </w:rPr>
        <w:t>Artículo 7. Factura negociable</w:t>
        <w:br/>
      </w:r>
      <w:r>
        <w:t>La factura electrónica con conformidad registrada o presunta conforme al artículo 2 tiene mérito para su anotación en cuenta en las instituciones de compensación y liquidación de valores, conforme a la Ley 29623, sin requisitos documentarios adicionales.</w:t>
      </w:r>
    </w:p>
    <w:p>
      <w:pPr>
        <w:jc w:val="both"/>
      </w:pPr>
      <w:r>
        <w:rPr>
          <w:b/>
        </w:rPr>
        <w:t>Artículo 8. Financiamiento</w:t>
        <w:br/>
      </w:r>
      <w:r>
        <w:t>La implementación de la presente ley se financia con cargo al presupuesto institucional de la SUNAT y de las entidades involucradas, sin demandar recursos adicionales al Tesoro Público.</w:t>
      </w:r>
    </w:p>
    <w:p>
      <w:pPr>
        <w:jc w:val="both"/>
      </w:pPr>
      <w:r>
        <w:rPr>
          <w:b/>
        </w:rPr>
        <w:t>Primera. Disposición Complementaria Final</w:t>
        <w:br/>
      </w:r>
      <w:r>
        <w:t>La SUNAT aprueba las resoluciones de superintendencia necesarias en un plazo de ciento ochenta días hábiles; la obligación del artículo 3 es exigible de manera gradual según el tamaño del adquirente.</w:t>
      </w:r>
    </w:p>
    <w:p>
      <w:pPr>
        <w:jc w:val="both"/>
      </w:pPr>
      <w:r>
        <w:rPr>
          <w:b/>
        </w:rPr>
        <w:t>Segunda. Disposición Complementaria Final</w:t>
        <w:br/>
      </w:r>
      <w:r>
        <w:t>El Ministerio de la Producción difunde, mediante sus programas de apoyo a la MYPE, el uso de la constancia electrónica de vencimiento y de la factura negociable.</w:t>
      </w:r>
    </w:p>
    <w:p>
      <w:r>
        <w:t>Lima, ___ de __________ de 20__</w:t>
      </w:r>
    </w:p>
    <w:p>
      <w:r>
        <w:br w:type="page"/>
      </w:r>
    </w:p>
    <w:p>
      <w:pPr>
        <w:pStyle w:val="Heading1"/>
      </w:pPr>
      <w:r>
        <w:t>EXPOSICIÓN DE MOTIVOS</w:t>
      </w:r>
    </w:p>
    <w:p>
      <w:pPr>
        <w:pStyle w:val="Heading2"/>
      </w:pPr>
      <w:r>
        <w:t>I. Fundamentos y problema</w:t>
      </w:r>
    </w:p>
    <w:p>
      <w:pPr>
        <w:jc w:val="both"/>
      </w:pPr>
      <w:r>
        <w:t>La Ley 31362, publicada en noviembre de 2021, establece que las facturas y recibos por honorarios emitidos por MYPE a empresas privadas y entidades públicas deben pagarse en un plazo máximo de treinta días calendario, salvo pacto escrito que no constituya abuso; vencido el plazo, el deudor incurre en mora. Por su parte, la Ley 29623 regula la factura negociable para que las MYPE obtengan liquidez mediante factoring. Pese a que el país cuenta con un sistema de facturación electrónica masificado, el cumplimiento de la Ley 31362 depende de que la MYPE reclame individualmente al comprador, algo que rara vez hace por temor a perder al cliente. No existe información pública que permita saber qué grandes compradores pagan tarde, y la conformidad de la factura, clave para que sea negociable, no siempre queda registrada de manera electrónica y verificable. Con datos que la SUNAT ya recibe (fecha de emisión de comprobantes y, cuando se registra, la conformidad y el pago), es posible automatizar alertas, publicar indicadores agregados y facilitar el factoring sin crear nuevas cargas relevantes. La Unión Europea, mediante la Directiva 2011/7/UE, fijó plazos máximos de pago e intereses de demora en operaciones comerciales.</w:t>
      </w:r>
    </w:p>
    <w:p>
      <w:pPr>
        <w:pStyle w:val="Heading2"/>
      </w:pPr>
      <w:r>
        <w:t>II. Objeto</w:t>
      </w:r>
    </w:p>
    <w:p>
      <w:pPr>
        <w:jc w:val="both"/>
      </w:pPr>
      <w:r>
        <w:t>Hacer exigible en la práctica el pago a treinta días a la MYPE aprovechando la facturación electrónica y la factura negociable.</w:t>
      </w:r>
    </w:p>
    <w:p>
      <w:pPr>
        <w:pStyle w:val="Heading2"/>
      </w:pPr>
      <w:r>
        <w:t>III. Análisis costo-beneficio</w:t>
      </w:r>
    </w:p>
    <w:p>
      <w:pPr>
        <w:jc w:val="both"/>
      </w:pPr>
      <w:r>
        <w:t>No genera gasto adicional: la SUNAT ya administra el sistema de emisión electrónica y la información de conformidad; los costos de desarrollo se absorben en su presupuesto institucional. Para los grandes adquirentes, la carga es registrar la conformidad y el pago, mitigada con implementación gradual e integración con información financiera. Los beneficios son mejorar la liquidez de las MYPE, reducir su dependencia de crédito caro, ampliar el uso del factoring con facturas verificables y crear un incentivo reputacional al publicar indicadores de pago. El riesgo de litigios por la publicación se acota al tratarse de indicadores agregados por contribuyente sobre una obligación legal.</w:t>
      </w:r>
    </w:p>
    <w:p>
      <w:pPr>
        <w:pStyle w:val="Heading2"/>
      </w:pPr>
      <w:r>
        <w:t>IV. Efecto de la vigencia de la norma sobre la legislación nacional</w:t>
      </w:r>
    </w:p>
    <w:p>
      <w:pPr>
        <w:jc w:val="both"/>
      </w:pPr>
      <w:r>
        <w:t>Complementa la Ley 31362 y la Ley 29623; incorpora una excepción a la reserva tributaria del artículo 85 del TUO del Código Tributario. No deroga normas.</w:t>
      </w:r>
    </w:p>
    <w:p>
      <w:pPr>
        <w:pStyle w:val="Heading2"/>
      </w:pPr>
      <w:r>
        <w:t>V. Antecedentes</w:t>
      </w:r>
    </w:p>
    <w:p>
      <w:pPr>
        <w:jc w:val="both"/>
      </w:pPr>
      <w:r>
        <w:t>Ley 31362 (2021); el Pleno aprobó en 2022 un dictamen modificatorio vinculado al Proyecto de Ley 286/2021-CR según nota del Congreso; vigencia de cambios por verificar en SPLEY.</w:t>
      </w:r>
    </w:p>
    <w:p>
      <w:pPr>
        <w:pStyle w:val="Heading2"/>
      </w:pPr>
      <w:r>
        <w:t>VI. Indicador de éxito</w:t>
      </w:r>
    </w:p>
    <w:p>
      <w:pPr>
        <w:jc w:val="both"/>
      </w:pPr>
      <w:r>
        <w:t>Al 2031, indicador semestral público de la SUNAT con el porcentaje de facturas MYPE pagadas en 30 días por principales contribuyentes y entidades públicas, con tendencia creciente.</w:t>
      </w:r>
    </w:p>
    <w:p>
      <w:pPr>
        <w:pStyle w:val="Heading2"/>
      </w:pPr>
      <w:r>
        <w:t>VII. Vinculación con la Agenda Legislativa y el Plan Perú 2050</w:t>
      </w:r>
    </w:p>
    <w:p>
      <w:r>
        <w:t>Comisiones temáticas del Plan Perú 2050: Mipymes, Transformación Digital, Competitividad. ODS: 8, 9.</w:t>
      </w:r>
    </w:p>
    <w:p>
      <w:pPr>
        <w:pStyle w:val="Heading2"/>
      </w:pPr>
      <w:r>
        <w:t>VIII. Referencias</w:t>
      </w:r>
    </w:p>
    <w:p>
      <w:pPr>
        <w:pStyle w:val="ListBullet"/>
      </w:pPr>
      <w:r>
        <w:t>Ley 31362, Ley de pago de facturas MYPE a treinta días — https://busquedas.elperuano.pe/dispositivo/NL/2016188-1</w:t>
      </w:r>
    </w:p>
    <w:p>
      <w:pPr>
        <w:pStyle w:val="ListBullet"/>
      </w:pPr>
      <w:r>
        <w:t>Ley 29623, Ley que promueve el financiamiento a través de la factura comercial — https://www.leyes.congreso.gob.pe/Documentos/Leyes/29623.pdf</w:t>
      </w:r>
    </w:p>
    <w:p>
      <w:pPr>
        <w:pStyle w:val="ListBullet"/>
      </w:pPr>
      <w:r>
        <w:t>TUO del Código Tributario (D.S. 133-2013-EF), incluida la Norma VII del Título Preliminar y el art. 85 (reserva tributaria) — https://www.sunat.gob.pe/legislacion/codigo/</w:t>
      </w:r>
    </w:p>
    <w:p>
      <w:pPr>
        <w:pStyle w:val="ListBullet"/>
      </w:pPr>
      <w:r>
        <w:t>Ley 28015, Ley de Promoción y Formalización de la Micro y Pequeña Empresa — https://www.leyes.congreso.gob.pe/Documentos/Leyes/28015.pdf</w:t>
      </w:r>
    </w:p>
    <w:p>
      <w:pPr>
        <w:pStyle w:val="ListBullet"/>
      </w:pPr>
      <w:r>
        <w:t>Unión Europea: Directiva 2011/7/UE por la que se establecen medidas de lucha contra la morosidad en las operaciones comerciales — https://eur-lex.europa.eu/eli/dir/2011/7/oj</w:t>
      </w:r>
    </w:p>
    <w:p>
      <w:pPr>
        <w:pStyle w:val="ListBullet"/>
      </w:pPr>
      <w:r>
        <w:t>El Peruano — Ley 31362, Ley de pago de facturas MYPE a treinta días — https://busquedas.elperuano.pe/dispositivo/NL/2016188-1</w:t>
      </w:r>
    </w:p>
    <w:p>
      <w:pPr>
        <w:pStyle w:val="ListBullet"/>
      </w:pPr>
      <w:r>
        <w:t>La Cámara (CCL) — Reglamentan ley de pago de facturas MYPE a treinta días — https://lacamara.pe/reglamentan-ley-de-pago-de-facturas-mype-a-treinta-dias/</w:t>
      </w:r>
    </w:p>
    <w:p>
      <w:pPr>
        <w:pStyle w:val="ListBullet"/>
      </w:pPr>
      <w:r>
        <w:t>Ley 29623 (Congreso) — https://www.leyes.congreso.gob.pe/Documentos/Leyes/29623.pdf</w:t>
      </w:r>
    </w:p>
    <w:p>
      <w:r>
        <w:t>Fuente: Agenda Legislativa Tech Perú 2026–2031 (https://unimauro.github.io/agenda-legislativa-tech/p/ECO-14.html),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el pago oportuno a la MYPE mediante la conformidad electrónica de facturas y el financiamiento con factura negociable</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