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EL SOFTWARE PÚBLICO Y EL CÓDIGO ABIERTO POR DEFECTO EN LOS DESARROLLOS FINANCIADOS CON FONDOS PÚBLICOS, MODIFICANDO LA LEY 28612</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EL SOFTWARE PÚBLICO Y EL CÓDIGO ABIERTO POR DEFECTO EN LOS DESARROLLOS FINANCIADOS CON FONDOS PÚBLICOS, MODIFICANDO LA LEY 28612</w:t>
      </w:r>
    </w:p>
    <w:p>
      <w:pPr>
        <w:jc w:val="both"/>
      </w:pPr>
      <w:r>
        <w:rPr>
          <w:b/>
        </w:rPr>
        <w:t>Artículo 1. Objeto</w:t>
        <w:br/>
      </w:r>
      <w:r>
        <w:t>La presente ley tiene por objeto garantizar que el software desarrollado o adaptado a medida con fondos públicos sea reutilizable por todas las entidades del Estado y por la ciudadanía, mediante su publicación por defecto como código abierto.</w:t>
      </w:r>
    </w:p>
    <w:p>
      <w:pPr>
        <w:jc w:val="both"/>
      </w:pPr>
      <w:r>
        <w:rPr>
          <w:b/>
        </w:rPr>
        <w:t>Artículo 2. Ámbito</w:t>
        <w:br/>
      </w:r>
      <w:r>
        <w:t>Es aplicable a las entidades de la Administración Pública, incluidas las empresas del Estado y los proyectos financiados total o parcialmente con recursos públicos, cualquiera sea la fuente de financiamiento.</w:t>
      </w:r>
    </w:p>
    <w:p>
      <w:pPr>
        <w:jc w:val="both"/>
      </w:pPr>
      <w:r>
        <w:rPr>
          <w:b/>
        </w:rPr>
        <w:t>Artículo 3. Definiciones</w:t>
        <w:br/>
      </w:r>
      <w:r>
        <w:t>Para efectos de la presente ley se entiende por:</w:t>
        <w:br/>
        <w:t>a) Software a medida: programa desarrollado o adaptado específicamente para una entidad, por personal propio o por terceros contratados.</w:t>
        <w:br/>
        <w:t>b) Código abierto: software cuyo código fuente se distribuye con una licencia que permite usarlo, estudiarlo, modificarlo y redistribuirlo.</w:t>
        <w:br/>
        <w:t>c) Software público peruano: software a medida registrado en la Plataforma Nacional de Software Público Peruano.</w:t>
      </w:r>
    </w:p>
    <w:p>
      <w:pPr>
        <w:jc w:val="both"/>
      </w:pPr>
      <w:r>
        <w:rPr>
          <w:b/>
        </w:rPr>
        <w:t>Artículo 4. Publicación por defecto</w:t>
        <w:br/>
      </w:r>
      <w:r>
        <w:t>4.1 El software a medida se publica como código abierto en la Plataforma Nacional de Software Público Peruano dentro de los noventa (90) días calendario de su puesta en producción, con su documentación técnica.</w:t>
        <w:br/>
        <w:t>4.2 La entidad puede exceptuar total o parcialmente la publicación, mediante resolución motivada del titular, cuando comprometa la seguridad nacional, la seguridad digital de sistemas críticos, información clasificada o derechos de terceros. La resolución se publica en el portal de transparencia.</w:t>
      </w:r>
    </w:p>
    <w:p>
      <w:pPr>
        <w:jc w:val="both"/>
      </w:pPr>
      <w:r>
        <w:rPr>
          <w:b/>
        </w:rPr>
        <w:t>Artículo 5. Cláusulas contractuales obligatorias</w:t>
        <w:br/>
      </w:r>
      <w:r>
        <w:t>En toda contratación de desarrollo o adaptación de software a medida, los documentos del procedimiento de selección y el contrato incluyen: (i) la entrega del código fuente completo y de los artefactos necesarios para compilarlo y desplegarlo; (ii) la cesión de los derechos patrimoniales o una licencia que permita su publicación como código abierto; y (iii) la prohibición de componentes que impidan dicha publicación, salvo justificación técnica aprobada por la entidad.</w:t>
      </w:r>
    </w:p>
    <w:p>
      <w:pPr>
        <w:jc w:val="both"/>
      </w:pPr>
      <w:r>
        <w:rPr>
          <w:b/>
        </w:rPr>
        <w:t>Artículo 6. Reutilización previa obligatoria</w:t>
        <w:br/>
      </w:r>
      <w:r>
        <w:t>Antes de convocar la contratación de software a medida, la entidad verifica en el Catálogo de Software Público Peruano la existencia de soluciones que satisfagan total o parcialmente su necesidad y deja constancia de dicha verificación en el expediente de contratación.</w:t>
      </w:r>
    </w:p>
    <w:p>
      <w:pPr>
        <w:jc w:val="both"/>
      </w:pPr>
      <w:r>
        <w:rPr>
          <w:b/>
        </w:rPr>
        <w:t>Artículo 7. Gobernanza de la Plataforma</w:t>
        <w:br/>
      </w:r>
      <w:r>
        <w:t>La Secretaría de Gobierno y Transformación Digital administra la Plataforma Nacional de Software Público Peruano, aprueba la relación de licencias de código abierto admitidas y los estándares mínimos de calidad, seguridad y documentación, y publica anualmente un informe de reutilización.</w:t>
      </w:r>
    </w:p>
    <w:p>
      <w:pPr>
        <w:jc w:val="both"/>
      </w:pPr>
      <w:r>
        <w:rPr>
          <w:b/>
        </w:rPr>
        <w:t>Artículo 8. Modificación de la Ley 28612</w:t>
        <w:br/>
      </w:r>
      <w:r>
        <w:t>Incorpórase una Disposición Complementaria Final a la Ley 28612, con el texto siguiente: "Software a medida financiado con fondos públicos. El software desarrollado o adaptado a medida con fondos públicos se rige por la ley que establece el software público y el código abierto por defecto."</w:t>
      </w:r>
    </w:p>
    <w:p>
      <w:pPr>
        <w:jc w:val="both"/>
      </w:pPr>
      <w:r>
        <w:rPr>
          <w:b/>
        </w:rPr>
        <w:t>Primera. Disposición Complementaria Final</w:t>
        <w:br/>
      </w:r>
      <w:r>
        <w:t>El Poder Ejecutivo reglamenta la presente ley en un plazo máximo de noventa (90) días hábiles, con refrendo de la Presidencia del Consejo de Ministros y del Ministerio de Economía y Finanzas.</w:t>
      </w:r>
    </w:p>
    <w:p>
      <w:pPr>
        <w:jc w:val="both"/>
      </w:pPr>
      <w:r>
        <w:rPr>
          <w:b/>
        </w:rPr>
        <w:t>Segunda. Disposición Complementaria Final</w:t>
        <w:br/>
      </w:r>
      <w:r>
        <w:t>La presente ley no obliga a publicar el código de software comercial estándar adquirido mediante licencia, al que se sigue aplicando la Ley 28612.</w:t>
      </w:r>
    </w:p>
    <w:p>
      <w:pPr>
        <w:jc w:val="both"/>
      </w:pPr>
      <w:r>
        <w:rPr>
          <w:b/>
        </w:rPr>
        <w:t>Tercera. Disposición Complementaria Final</w:t>
        <w:br/>
      </w:r>
      <w:r>
        <w:t>La implementación se financia con cargo al presupuesto institucional de los pliegos, sin demandar recursos adicionales al Tesoro Público.</w:t>
      </w:r>
    </w:p>
    <w:p>
      <w:pPr>
        <w:jc w:val="both"/>
      </w:pPr>
      <w:r>
        <w:rPr>
          <w:b/>
        </w:rPr>
        <w:t>Primera. Disposición Complementaria Transitoria</w:t>
        <w:br/>
      </w:r>
      <w:r>
        <w:t>El software a medida en producción a la fecha de vigencia de la presente ley, cuyo código fuente sea de titularidad de la entidad, se publica en un plazo de dieciocho (18) meses, salvo las excepciones del artículo 4.</w:t>
      </w:r>
    </w:p>
    <w:p>
      <w:r>
        <w:t>Lima, ___ de __________ de 20__</w:t>
      </w:r>
    </w:p>
    <w:p>
      <w:r>
        <w:br w:type="page"/>
      </w:r>
    </w:p>
    <w:p>
      <w:pPr>
        <w:pStyle w:val="Heading1"/>
      </w:pPr>
      <w:r>
        <w:t>EXPOSICIÓN DE MOTIVOS</w:t>
      </w:r>
    </w:p>
    <w:p>
      <w:pPr>
        <w:pStyle w:val="Heading2"/>
      </w:pPr>
      <w:r>
        <w:t>I. Fundamentos y problema</w:t>
      </w:r>
    </w:p>
    <w:p>
      <w:pPr>
        <w:jc w:val="both"/>
      </w:pPr>
      <w:r>
        <w:t>La Ley 28612 (2005) regula la adquisición de software en el Estado bajo criterios de neutralidad tecnológica, pero no aborda la titularidad ni la reutilización del software que el propio Estado desarrolla o encarga. El Reglamento de la Ley de Gobierno Digital (DS 029-2021-PCM) creó la Plataforma Nacional de Software Público Peruano y dispone preferir el software público o de código abierto, pero se trata de una preferencia de rango reglamentario, sin obligación general de publicar el código ni de asegurar en los contratos la entrega del código fuente y de los derechos de uso. El resultado es que distintas entidades, en particular municipalidades y gobiernos regionales, pagan varias veces por sistemas equivalentes (trámite documentario, licencias de funcionamiento, gestión de expedientes), y quedan atadas a un proveedor cuando el contrato no les transfiere el código fuente. Suiza (artículo 9 de la ley EMBAG, vigente desde 2024), Uruguay (Ley 19.179), Italia (artículos 68 y 69 del Codice dell'Amministrazione Digitale) y España (artículo 157 de la Ley 40/2015) han establecido con rango de ley la publicación o reutilización del software financiado públicamente, con excepciones por seguridad o derechos de terceros.</w:t>
      </w:r>
    </w:p>
    <w:p>
      <w:pPr>
        <w:pStyle w:val="Heading2"/>
      </w:pPr>
      <w:r>
        <w:t>II. Objeto</w:t>
      </w:r>
    </w:p>
    <w:p>
      <w:pPr>
        <w:jc w:val="both"/>
      </w:pPr>
      <w:r>
        <w:t>Establecer que el software desarrollado o adaptado a medida con fondos públicos se publique por defecto como código abierto y se reutilice entre entidades, salvo excepciones motivadas.</w:t>
      </w:r>
    </w:p>
    <w:p>
      <w:pPr>
        <w:pStyle w:val="Heading2"/>
      </w:pPr>
      <w:r>
        <w:t>III. Análisis costo-beneficio</w:t>
      </w:r>
    </w:p>
    <w:p>
      <w:pPr>
        <w:jc w:val="both"/>
      </w:pPr>
      <w:r>
        <w:t>No genera gasto adicional relevante: la plataforma ya existe. Puede elevar marginalmente el precio de algunos contratos por la cesión de derechos y la exigencia de documentación, y exige a las entidades revisar seguridad antes de publicar. Los beneficios son ahorro por reutilización entre entidades (especialmente municipalidades que comparten necesidades similares), reducción de dependencia de proveedores, mayor competencia en mantenimiento y auditabilidad pública del software estatal. No existe una cuantificación oficial del gasto duplicado en software a medida en el Perú; el reglamento debe exigir un registro de contrataciones de desarrollo que permita medirlo. Costo fiscal: nulo.</w:t>
      </w:r>
    </w:p>
    <w:p>
      <w:pPr>
        <w:pStyle w:val="Heading2"/>
      </w:pPr>
      <w:r>
        <w:t>IV. Efecto de la vigencia de la norma sobre la legislación nacional</w:t>
      </w:r>
    </w:p>
    <w:p>
      <w:pPr>
        <w:jc w:val="both"/>
      </w:pPr>
      <w:r>
        <w:t>Modifica la Ley 28612 (incorpora una disposición complementaria final). Eleva a rango legal y vuelve obligatoria la reutilización del software público prevista en el DS 029-2021-PCM y en el DS 051-2018-PCM. Complementa la Ley 32069 en cuanto a cláusulas de contratos de desarrollo de software.</w:t>
      </w:r>
    </w:p>
    <w:p>
      <w:pPr>
        <w:pStyle w:val="Heading2"/>
      </w:pPr>
      <w:r>
        <w:t>V. Antecedentes</w:t>
      </w:r>
    </w:p>
    <w:p>
      <w:pPr>
        <w:jc w:val="both"/>
      </w:pPr>
      <w:r>
        <w:t>Por verificar en SPLEY.</w:t>
      </w:r>
    </w:p>
    <w:p>
      <w:pPr>
        <w:pStyle w:val="Heading2"/>
      </w:pPr>
      <w:r>
        <w:t>VI. Indicador de éxito</w:t>
      </w:r>
    </w:p>
    <w:p>
      <w:pPr>
        <w:jc w:val="both"/>
      </w:pPr>
      <w:r>
        <w:t>A 2031, al menos el 80% de los contratos de software a medida registrados en el SEACE incluyen entrega de código fuente y cesión de derechos, y el Catálogo de Software Público Peruano registra reutilizaciones por al menos 500 entidades.</w:t>
      </w:r>
    </w:p>
    <w:p>
      <w:pPr>
        <w:pStyle w:val="Heading2"/>
      </w:pPr>
      <w:r>
        <w:t>VII. Vinculación con la Agenda Legislativa y el Plan Perú 2050</w:t>
      </w:r>
    </w:p>
    <w:p>
      <w:r>
        <w:t>Comisiones temáticas del Plan Perú 2050: Transformación Digital, Ciencia y Tecnología, Innovación. ODS: 9, 16, 17.</w:t>
      </w:r>
    </w:p>
    <w:p>
      <w:pPr>
        <w:pStyle w:val="Heading2"/>
      </w:pPr>
      <w:r>
        <w:t>VIII. Referencias</w:t>
      </w:r>
    </w:p>
    <w:p>
      <w:pPr>
        <w:pStyle w:val="ListBullet"/>
      </w:pPr>
      <w:r>
        <w:t>Ley 28612, Ley que norma el uso, adquisición y adecuación del software en la Administración Pública — https://www.leyes.congreso.gob.pe/Documentos/Leyes/28612.pdf</w:t>
      </w:r>
    </w:p>
    <w:p>
      <w:pPr>
        <w:pStyle w:val="ListBullet"/>
      </w:pPr>
      <w:r>
        <w:t>Decreto Legislativo 1412, Decreto Legislativo que aprueba la Ley de Gobierno Digital — https://www.gob.pe/institucion/pcm/normas-legales/289706-1412</w:t>
      </w:r>
    </w:p>
    <w:p>
      <w:pPr>
        <w:pStyle w:val="ListBullet"/>
      </w:pPr>
      <w:r>
        <w:t>Decreto Supremo 029-2021-PCM, Reglamento del Decreto Legislativo 1412 (modificado, entre otros, por los DS 075-2023-PCM y 098-2025-PCM) — https://www.gob.pe/institucion/pcm/normas-legales/1705101-029-2021-pcm</w:t>
      </w:r>
    </w:p>
    <w:p>
      <w:pPr>
        <w:pStyle w:val="ListBullet"/>
      </w:pPr>
      <w:r>
        <w:t>Ley 32069, Ley General de Contrataciones Públicas, y su Reglamento aprobado por DS 009-2025-EF — https://www.gob.pe/institucion/oece/colecciones/45029-ley-n-32069-ley-general-de-contrataciones-publicas-y-su-reglamento</w:t>
      </w:r>
    </w:p>
    <w:p>
      <w:pPr>
        <w:pStyle w:val="ListBullet"/>
      </w:pPr>
      <w:r>
        <w:t>Suiza: Ley federal EMBAG (art. 9: publicación por defecto como código abierto del software desarrollado por la administración) — https://www.fedlex.admin.ch/eli/cc/2023/682/de</w:t>
      </w:r>
    </w:p>
    <w:p>
      <w:pPr>
        <w:pStyle w:val="ListBullet"/>
      </w:pPr>
      <w:r>
        <w:t>Uruguay: Ley 19.179, sobre software libre y formatos abiertos en el Estado — https://www.impo.com.uy/bases/leyes/19179-2013</w:t>
      </w:r>
    </w:p>
    <w:p>
      <w:pPr>
        <w:pStyle w:val="ListBullet"/>
      </w:pPr>
      <w:r>
        <w:t>Italia: Codice dell'Amministrazione Digitale, D.Lgs. 82/2005 (arts. 68-69: reutilización y software de código abierto) — https://www.normattiva.it/uri-res/N2Ls?urn:nir:stato:decreto.legislativo:2005-03-07;82</w:t>
      </w:r>
    </w:p>
    <w:p>
      <w:pPr>
        <w:pStyle w:val="ListBullet"/>
      </w:pPr>
      <w:r>
        <w:t>España: Ley 40/2015, de Régimen Jurídico del Sector Público (arts. 155-158: interoperabilidad, reutilización de sistemas y transferencia de tecnología) — https://www.boe.es/buscar/act.php?id=BOE-A-2015-10566</w:t>
      </w:r>
    </w:p>
    <w:p>
      <w:pPr>
        <w:pStyle w:val="ListBullet"/>
      </w:pPr>
      <w:r>
        <w:t>Portal de Software Público Peruano — https://www.softwarepublico.gob.pe/</w:t>
      </w:r>
    </w:p>
    <w:p>
      <w:pPr>
        <w:pStyle w:val="ListBullet"/>
      </w:pPr>
      <w:r>
        <w:t>Free Software Foundation Europe, campaña Public Money, Public Code — https://publiccode.eu/</w:t>
      </w:r>
    </w:p>
    <w:p>
      <w:pPr>
        <w:pStyle w:val="ListBullet"/>
      </w:pPr>
      <w:r>
        <w:t>PCM, Secretaría de Gobierno y Transformación Digital (portal) — https://www.gob.pe/gobiernodigital</w:t>
      </w:r>
    </w:p>
    <w:p>
      <w:r>
        <w:t>Fuente: Agenda Legislativa Tech Perú 2026–2031 (https://unimauro.github.io/agenda-legislativa-tech/p/GOB-03.html),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el software público y el código abierto por defecto en los desarrollos financiados con fondos públicos, modificando la Ley 28612</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