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LA TRANSPARENCIA EN TIEMPO REAL DEL GASTO PÚBLICO, LAS CONTRATACIONES Y LAS PLANILLAS EN FORMATO ABIERTO, MODIFICANDO EL TEXTO ÚNICO ORDENADO DE LA LEY 27806</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LA TRANSPARENCIA EN TIEMPO REAL DEL GASTO PÚBLICO, LAS CONTRATACIONES Y LAS PLANILLAS EN FORMATO ABIERTO, MODIFICANDO EL TEXTO ÚNICO ORDENADO DE LA LEY 27806</w:t>
      </w:r>
    </w:p>
    <w:p>
      <w:pPr>
        <w:jc w:val="both"/>
      </w:pPr>
      <w:r>
        <w:rPr>
          <w:b/>
        </w:rPr>
        <w:t>Artículo 1. Objeto</w:t>
        <w:br/>
      </w:r>
      <w:r>
        <w:t>La presente ley tiene por objeto fortalecer la transparencia activa en materia de gasto público, contrataciones y personal, estableciendo estándares de oportunidad, formato abierto e interoperabilidad de la información.</w:t>
      </w:r>
    </w:p>
    <w:p>
      <w:pPr>
        <w:jc w:val="both"/>
      </w:pPr>
      <w:r>
        <w:rPr>
          <w:b/>
        </w:rPr>
        <w:t>Artículo 2. Ámbito</w:t>
        <w:br/>
      </w:r>
      <w:r>
        <w:t>Es aplicable a las entidades comprendidas en el artículo 2 del TUO de la Ley 27806, incluidas las empresas del Estado, los gobiernos regionales y locales, y los fondos y programas que administran recursos públicos.</w:t>
      </w:r>
    </w:p>
    <w:p>
      <w:pPr>
        <w:jc w:val="both"/>
      </w:pPr>
      <w:r>
        <w:rPr>
          <w:b/>
        </w:rPr>
        <w:t>Artículo 3. Ejecución del gasto en tiempo real</w:t>
        <w:br/>
      </w:r>
      <w:r>
        <w:t>El Ministerio de Economía y Finanzas publica diariamente, en formato abierto y mediante interfaz de programación de libre acceso, la ejecución presupuestal en sus fases de certificación, compromiso, devengado y girado, a nivel de entidad, meta, clasificador de gasto y proveedor, a partir de la información registrada en el Sistema Integrado de Administración Financiera.</w:t>
      </w:r>
    </w:p>
    <w:p>
      <w:pPr>
        <w:jc w:val="both"/>
      </w:pPr>
      <w:r>
        <w:rPr>
          <w:b/>
        </w:rPr>
        <w:t>Artículo 4. Contrataciones abiertas</w:t>
        <w:br/>
      </w:r>
      <w:r>
        <w:t>4.1 El OECE publica, bajo el Estándar de Datos de Contrataciones Abiertas (OCDS), la información de todas las contrataciones registradas en la plataforma del SEACE, desde la planificación hasta la ejecución contractual, incluidas las contrataciones de montos iguales o inferiores a ocho (8) UIT, las órdenes de compra y de servicio y las adendas.</w:t>
        <w:br/>
        <w:t>4.2 La actualización es diaria y la información es descargable de forma masiva y consultable mediante interfaz de programación.</w:t>
      </w:r>
    </w:p>
    <w:p>
      <w:pPr>
        <w:jc w:val="both"/>
      </w:pPr>
      <w:r>
        <w:rPr>
          <w:b/>
        </w:rPr>
        <w:t>Artículo 5. Planillas abiertas</w:t>
        <w:br/>
      </w:r>
      <w:r>
        <w:t>Las entidades publican mensualmente, en formato abierto, la relación de su personal por régimen laboral o contractual, cargo, unidad orgánica, remuneración o contraprestación bruta, fuente de financiamiento y fecha de ingreso. La publicación se realiza a través del Portal de Transparencia Estándar, a partir del Aplicativo Informático para el Registro Centralizado de Planillas y de Datos de los Recursos Humanos del Sector Público, sin incluir datos sensibles ni domicilios.</w:t>
      </w:r>
    </w:p>
    <w:p>
      <w:pPr>
        <w:jc w:val="both"/>
      </w:pPr>
      <w:r>
        <w:rPr>
          <w:b/>
        </w:rPr>
        <w:t>Artículo 6. Formatos y estándares</w:t>
        <w:br/>
      </w:r>
      <w:r>
        <w:t>La Secretaría de Gobierno y Transformación Digital, en coordinación con la Autoridad Nacional de Transparencia y Acceso a la Información Pública, aprueba los esquemas de datos, identificadores únicos de entidad y proveedor, y los requisitos mínimos de las interfaces de programación. No se considera cumplida la obligación con documentos escaneados o en formatos no procesables por máquina.</w:t>
      </w:r>
    </w:p>
    <w:p>
      <w:pPr>
        <w:jc w:val="both"/>
      </w:pPr>
      <w:r>
        <w:rPr>
          <w:b/>
        </w:rPr>
        <w:t>Artículo 7. Supervisión e incumplimiento</w:t>
        <w:br/>
      </w:r>
      <w:r>
        <w:t>La Autoridad Nacional de Transparencia y Acceso a la Información Pública supervisa el cumplimiento de la presente ley y publica un índice semestral por entidad. El incumplimiento constituye infracción conforme al régimen sancionador del TUO de la Ley 27806.</w:t>
      </w:r>
    </w:p>
    <w:p>
      <w:pPr>
        <w:jc w:val="both"/>
      </w:pPr>
      <w:r>
        <w:rPr>
          <w:b/>
        </w:rPr>
        <w:t>Artículo 8. Modificación del TUO de la Ley 27806</w:t>
        <w:br/>
      </w:r>
      <w:r>
        <w:t>Incorpórase una Disposición Complementaria Final al TUO de la Ley 27806, con el texto siguiente: "Oportunidad y formato abierto. La información del portal de transparencia y la del Título IV relativa a presupuesto, contrataciones y personal se publica en formato abierto y procesable por máquina, con la periodicidad que establezca la ley de transparencia en tiempo real."</w:t>
      </w:r>
    </w:p>
    <w:p>
      <w:pPr>
        <w:jc w:val="both"/>
      </w:pPr>
      <w:r>
        <w:rPr>
          <w:b/>
        </w:rPr>
        <w:t>Primera. Disposición Complementaria Final</w:t>
        <w:br/>
      </w:r>
      <w:r>
        <w:t>El Poder Ejecutivo reglamenta la presente ley en un plazo de noventa (90) días hábiles, con refrendo de la Presidencia del Consejo de Ministros, el Ministerio de Justicia y Derechos Humanos y el Ministerio de Economía y Finanzas.</w:t>
      </w:r>
    </w:p>
    <w:p>
      <w:pPr>
        <w:jc w:val="both"/>
      </w:pPr>
      <w:r>
        <w:rPr>
          <w:b/>
        </w:rPr>
        <w:t>Segunda. Disposición Complementaria Final</w:t>
        <w:br/>
      </w:r>
      <w:r>
        <w:t>La implementación se financia con cargo al presupuesto institucional de los pliegos involucrados, sin demandar recursos adicionales al Tesoro Público.</w:t>
      </w:r>
    </w:p>
    <w:p>
      <w:pPr>
        <w:jc w:val="both"/>
      </w:pPr>
      <w:r>
        <w:rPr>
          <w:b/>
        </w:rPr>
        <w:t>Tercera. Disposición Complementaria Final</w:t>
        <w:br/>
      </w:r>
      <w:r>
        <w:t>Nada de lo dispuesto en la presente ley autoriza la publicación de información calificada como secreta, reservada o confidencial, ni de datos personales sensibles, conforme a la Ley 27806 y a la Ley 29733.</w:t>
      </w:r>
    </w:p>
    <w:p>
      <w:r>
        <w:t>Lima, ___ de __________ de 20__</w:t>
      </w:r>
    </w:p>
    <w:p>
      <w:r>
        <w:br w:type="page"/>
      </w:r>
    </w:p>
    <w:p>
      <w:pPr>
        <w:pStyle w:val="Heading1"/>
      </w:pPr>
      <w:r>
        <w:t>EXPOSICIÓN DE MOTIVOS</w:t>
      </w:r>
    </w:p>
    <w:p>
      <w:pPr>
        <w:pStyle w:val="Heading2"/>
      </w:pPr>
      <w:r>
        <w:t>I. Fundamentos y problema</w:t>
      </w:r>
    </w:p>
    <w:p>
      <w:pPr>
        <w:jc w:val="both"/>
      </w:pPr>
      <w:r>
        <w:t>La Ley 27806 obliga a las entidades a difundir información presupuestal, de contrataciones y de personal a través de sus portales de transparencia, y el DS 029-2021-PCM dispuso la apertura por defecto de los datos del Portal de Transparencia Económica del MEF y del SEACE en la Plataforma Nacional de Datos Abiertos. El OECE ya publica datos bajo el estándar de contrataciones abiertas (OCDS). No obstante, la ley no fija frecuencia mínima de actualización, formato procesable ni interfaces de programación (API) obligatorias; buena parte de la información de los portales de transparencia estándar se publica en documentos escaneados o tablas no reutilizables, con rezagos de meses. Las contrataciones de menor cuantía y las órdenes de servicio, donde se concentran muchos riesgos de fraccionamiento, tienen menor nivel de detalle y trazabilidad que los procedimientos competitivos, y las planillas no siempre permiten cruzar cargo, régimen, remuneración y fuente de financiamiento. Esto limita el control social, el periodismo de datos y el trabajo preventivo de la Contraloría. Brasil (Portal da Transparência), Colombia (Ley 1712 de 2014 y SECOP) y España (Ley 19/2013) muestran que la publicación estructurada y frecuente es condición para el control ciudadano efectivo.</w:t>
      </w:r>
    </w:p>
    <w:p>
      <w:pPr>
        <w:pStyle w:val="Heading2"/>
      </w:pPr>
      <w:r>
        <w:t>II. Objeto</w:t>
      </w:r>
    </w:p>
    <w:p>
      <w:pPr>
        <w:jc w:val="both"/>
      </w:pPr>
      <w:r>
        <w:t>Garantizar la publicación diaria, en formato abierto y mediante interfaces de programación, de la ejecución del gasto, las contrataciones y las planillas del sector público.</w:t>
      </w:r>
    </w:p>
    <w:p>
      <w:pPr>
        <w:pStyle w:val="Heading2"/>
      </w:pPr>
      <w:r>
        <w:t>III. Análisis costo-beneficio</w:t>
      </w:r>
    </w:p>
    <w:p>
      <w:pPr>
        <w:jc w:val="both"/>
      </w:pPr>
      <w:r>
        <w:t>El costo es reducido porque la información ya existe en sistemas centrales (SIAF, SEACE, registro de planillas del MEF); el esfuerzo está en exponerla mediante interfaces de programación y estandarizarla, a cargo principalmente del MEF y del OECE. Las entidades pequeñas no generan datos nuevos: se publica desde los sistemas centrales. Beneficios: control social y periodístico oportuno, detección temprana de fraccionamientos y sobrecostos, insumo para el control preventivo y mayor confianza ciudadana. La literatura internacional asocia la contratación abierta con mayor competencia, aunque el efecto en el Perú debe medirse con línea de base. Costo fiscal estimado: bajo.</w:t>
      </w:r>
    </w:p>
    <w:p>
      <w:pPr>
        <w:pStyle w:val="Heading2"/>
      </w:pPr>
      <w:r>
        <w:t>IV. Efecto de la vigencia de la norma sobre la legislación nacional</w:t>
      </w:r>
    </w:p>
    <w:p>
      <w:pPr>
        <w:jc w:val="both"/>
      </w:pPr>
      <w:r>
        <w:t>Modifica el TUO de la Ley 27806 (incorpora una disposición complementaria final). Complementa la Ley 32069 y la Trigésima Sexta Disposición Complementaria Final del DS 029-2021-PCM, elevando a rango legal la apertura por defecto de datos económicos y de contrataciones.</w:t>
      </w:r>
    </w:p>
    <w:p>
      <w:pPr>
        <w:pStyle w:val="Heading2"/>
      </w:pPr>
      <w:r>
        <w:t>V. Antecedentes</w:t>
      </w:r>
    </w:p>
    <w:p>
      <w:pPr>
        <w:jc w:val="both"/>
      </w:pPr>
      <w:r>
        <w:t>Por verificar en SPLEY.</w:t>
      </w:r>
    </w:p>
    <w:p>
      <w:pPr>
        <w:pStyle w:val="Heading2"/>
      </w:pPr>
      <w:r>
        <w:t>VI. Indicador de éxito</w:t>
      </w:r>
    </w:p>
    <w:p>
      <w:pPr>
        <w:jc w:val="both"/>
      </w:pPr>
      <w:r>
        <w:t>A 2028, el 100% de las contrataciones registradas en el SEACE, incluidas las menores o iguales a 8 UIT, se publican en OCDS con actualización diaria; a 2031, el 95% de entidades obtienen calificación satisfactoria en el índice semestral de la ANTAIP.</w:t>
      </w:r>
    </w:p>
    <w:p>
      <w:pPr>
        <w:pStyle w:val="Heading2"/>
      </w:pPr>
      <w:r>
        <w:t>VII. Vinculación con la Agenda Legislativa y el Plan Perú 2050</w:t>
      </w:r>
    </w:p>
    <w:p>
      <w:r>
        <w:t>Comisiones temáticas del Plan Perú 2050: Reforma Del Estado, Ética, Transformación Digital. ODS: 16.</w:t>
      </w:r>
    </w:p>
    <w:p>
      <w:pPr>
        <w:pStyle w:val="Heading2"/>
      </w:pPr>
      <w:r>
        <w:t>VIII. Referencias</w:t>
      </w:r>
    </w:p>
    <w:p>
      <w:pPr>
        <w:pStyle w:val="ListBullet"/>
      </w:pPr>
      <w:r>
        <w:t>Ley 27806, Ley de Transparencia y Acceso a la Información Pública (TUO aprobado por DS 021-2019-JUS) — https://www.leyes.congreso.gob.pe/Documentos/Leyes/27806.pdf</w:t>
      </w:r>
    </w:p>
    <w:p>
      <w:pPr>
        <w:pStyle w:val="ListBullet"/>
      </w:pPr>
      <w:r>
        <w:t>Ley 32069, Ley General de Contrataciones Públicas, y su Reglamento aprobado por DS 009-2025-EF — https://www.gob.pe/institucion/oece/colecciones/45029-ley-n-32069-ley-general-de-contrataciones-publicas-y-su-reglamento</w:t>
      </w:r>
    </w:p>
    <w:p>
      <w:pPr>
        <w:pStyle w:val="ListBullet"/>
      </w:pPr>
      <w:r>
        <w:t>Decreto Supremo 029-2021-PCM, Reglamento del Decreto Legislativo 1412 (modificado, entre otros, por los DS 075-2023-PCM y 098-2025-PCM) — https://www.gob.pe/institucion/pcm/normas-legales/1705101-029-2021-pcm</w:t>
      </w:r>
    </w:p>
    <w:p>
      <w:pPr>
        <w:pStyle w:val="ListBullet"/>
      </w:pPr>
      <w:r>
        <w:t>Decreto Legislativo 1440, del Sistema Nacional de Presupuesto Público — https://www.leyes.congreso.gob.pe/Documentos/DecretosLegislativos/01440.pdf</w:t>
      </w:r>
    </w:p>
    <w:p>
      <w:pPr>
        <w:pStyle w:val="ListBullet"/>
      </w:pPr>
      <w:r>
        <w:t>Brasil: Portal da Transparência do Governo Federal — https://portaldatransparencia.gov.br/</w:t>
      </w:r>
    </w:p>
    <w:p>
      <w:pPr>
        <w:pStyle w:val="ListBullet"/>
      </w:pPr>
      <w:r>
        <w:t>Colombia: Ley 1712 de 2014, de Transparencia y del Derecho de Acceso a la Información Pública — https://www.funcionpublica.gov.co/eva/gestornormativo/norma.php?i=56882</w:t>
      </w:r>
    </w:p>
    <w:p>
      <w:pPr>
        <w:pStyle w:val="ListBullet"/>
      </w:pPr>
      <w:r>
        <w:t>Colombia: Colombia Compra Eficiente (SECOP, publicación bajo estándar de contrataciones abiertas) — https://www.colombiacompra.gov.co/</w:t>
      </w:r>
    </w:p>
    <w:p>
      <w:pPr>
        <w:pStyle w:val="ListBullet"/>
      </w:pPr>
      <w:r>
        <w:t>España: Ley 19/2013, de transparencia, acceso a la información pública y buen gobierno — https://www.boe.es/buscar/act.php?id=BOE-A-2013-12887</w:t>
      </w:r>
    </w:p>
    <w:p>
      <w:pPr>
        <w:pStyle w:val="ListBullet"/>
      </w:pPr>
      <w:r>
        <w:t>OECE, Portal de Contrataciones Abiertas de la Compra Pública del Perú — https://contratacionesabiertas.oece.gob.pe/</w:t>
      </w:r>
    </w:p>
    <w:p>
      <w:pPr>
        <w:pStyle w:val="ListBullet"/>
      </w:pPr>
      <w:r>
        <w:t>Open Contracting Data Standard (OCDS), documentación oficial — https://standard.open-contracting.org/latest/en/</w:t>
      </w:r>
    </w:p>
    <w:p>
      <w:pPr>
        <w:pStyle w:val="ListBullet"/>
      </w:pPr>
      <w:r>
        <w:t>Portal de Transparencia Estándar del Estado Peruano — https://www.transparencia.gob.pe/</w:t>
      </w:r>
    </w:p>
    <w:p>
      <w:pPr>
        <w:pStyle w:val="ListBullet"/>
      </w:pPr>
      <w:r>
        <w:t>Plataforma Nacional de Datos Abiertos — https://www.datosabiertos.gob.pe/</w:t>
      </w:r>
    </w:p>
    <w:p>
      <w:r>
        <w:t>Fuente: Agenda Legislativa Tech Perú 2026–2031 (https://unimauro.github.io/agenda-legislativa-tech/p/GOB-05.html),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la transparencia en tiempo real del gasto público, las contrataciones y las planillas en formato abierto, modificando el Texto Único Ordenado de la Ley 27806</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