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EL CATASTRO DIGITAL MULTIPROPÓSITO INTEROPERABLE Y PROMUEVE LOS GEMELOS DIGITALES URBANOS, MODIFICANDO LA LEY 28294</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EL CATASTRO DIGITAL MULTIPROPÓSITO INTEROPERABLE Y PROMUEVE LOS GEMELOS DIGITALES URBANOS, MODIFICANDO LA LEY 28294</w:t>
      </w:r>
    </w:p>
    <w:p>
      <w:pPr>
        <w:jc w:val="both"/>
      </w:pPr>
      <w:r>
        <w:rPr>
          <w:b/>
        </w:rPr>
        <w:t>Artículo 1. Objeto</w:t>
        <w:br/>
      </w:r>
      <w:r>
        <w:t>La presente ley tiene por objeto establecer el catastro digital multipropósito como infraestructura de información del Estado, de uso común para fines registrales, tributarios, de planificación territorial, de gestión del riesgo de desastres y de prestación de servicios públicos.</w:t>
      </w:r>
    </w:p>
    <w:p>
      <w:pPr>
        <w:jc w:val="both"/>
      </w:pPr>
      <w:r>
        <w:rPr>
          <w:b/>
        </w:rPr>
        <w:t>Artículo 2. Catastro digital multipropósito</w:t>
        <w:br/>
      </w:r>
      <w:r>
        <w:t>2.1 El catastro digital multipropósito es la base de datos geoespacial única y continua de los predios urbanos y rurales del país, conformada por la información que generan las entidades integrantes del Sistema Nacional Integrado de Información Catastral Predial.</w:t>
        <w:br/>
        <w:t>2.2 Su información es interoperable con el Registro de Predios, los sistemas tributarios municipales, la Infraestructura de Datos Espaciales del Perú y los sistemas de gestión del riesgo de desastres.</w:t>
      </w:r>
    </w:p>
    <w:p>
      <w:pPr>
        <w:jc w:val="both"/>
      </w:pPr>
      <w:r>
        <w:rPr>
          <w:b/>
        </w:rPr>
        <w:t>Artículo 3. Código Único Catastral</w:t>
        <w:br/>
      </w:r>
      <w:r>
        <w:t>Todo predio cuenta con un Código Único Catastral, asignado conforme a los estándares del Sistema, que las entidades públicas utilizan obligatoriamente en sus registros y trámites relacionados con predios.</w:t>
      </w:r>
    </w:p>
    <w:p>
      <w:pPr>
        <w:jc w:val="both"/>
      </w:pPr>
      <w:r>
        <w:rPr>
          <w:b/>
        </w:rPr>
        <w:t>Artículo 4. Actualización continua</w:t>
        <w:br/>
      </w:r>
      <w:r>
        <w:t>3.1 Las municipalidades provinciales y distritales actualizan la información catastral de su circunscripción de manera continua, a partir de las licencias, declaraciones juradas, inscripciones registrales y levantamientos que realicen.</w:t>
        <w:br/>
        <w:t>3.2 Las licencias de edificación, habilitaciones urbanas y declaratorias de fábrica se registran georreferenciadas en el catastro digital.</w:t>
      </w:r>
    </w:p>
    <w:p>
      <w:pPr>
        <w:jc w:val="both"/>
      </w:pPr>
      <w:r>
        <w:rPr>
          <w:b/>
        </w:rPr>
        <w:t>Artículo 5. Datos abiertos geoespaciales</w:t>
        <w:br/>
      </w:r>
      <w:r>
        <w:t>La cartografía base, los límites de manzanas y lotes y las capas no sensibles del catastro se publican como datos abiertos. La información de titularidad y valorización individual se sujeta a la Ley 29733 y a la normativa registral.</w:t>
      </w:r>
    </w:p>
    <w:p>
      <w:pPr>
        <w:jc w:val="both"/>
      </w:pPr>
      <w:r>
        <w:rPr>
          <w:b/>
        </w:rPr>
        <w:t>Artículo 6. Gemelos digitales urbanos</w:t>
        <w:br/>
      </w:r>
      <w:r>
        <w:t>6.1 Las municipalidades provinciales capitales de departamento, en coordinación con el Ministerio de Vivienda, Construcción y Saneamiento, pueden desarrollar gemelos digitales urbanos, entendidos como réplicas digitales tridimensionales de la ciudad que integran catastro, redes de servicios, movilidad y escenarios de riesgo.</w:t>
        <w:br/>
        <w:t>6.2 Los gemelos digitales se desarrollan con estándares abiertos e interoperables y su información no sensible es accesible para la ciudadanía.</w:t>
      </w:r>
    </w:p>
    <w:p>
      <w:pPr>
        <w:jc w:val="both"/>
      </w:pPr>
      <w:r>
        <w:rPr>
          <w:b/>
        </w:rPr>
        <w:t>Artículo 7. Financiamiento</w:t>
        <w:br/>
      </w:r>
      <w:r>
        <w:t>Las inversiones en catastro digital y gemelos digitales urbanos pueden financiarse con recursos del Fondo de Compensación Municipal, canon y otros recursos determinados, en el marco del Sistema Nacional de Programación Multianual y Gestión de Inversiones, en tanto constituyan proyectos de inversión pública.</w:t>
      </w:r>
    </w:p>
    <w:p>
      <w:pPr>
        <w:jc w:val="both"/>
      </w:pPr>
      <w:r>
        <w:rPr>
          <w:b/>
        </w:rPr>
        <w:t>Artículo 8. Modificación de la Ley 28294</w:t>
        <w:br/>
      </w:r>
      <w:r>
        <w:t>Incorpórase una Disposición Complementaria Final a la Ley 28294, con el texto siguiente: "Catastro digital multipropósito. La información catastral del Sistema se integra en el catastro digital multipropósito, con Código Único Catastral y estándares geoespaciales interoperables, conforme a la ley de la materia."</w:t>
      </w:r>
    </w:p>
    <w:p>
      <w:pPr>
        <w:jc w:val="both"/>
      </w:pPr>
      <w:r>
        <w:rPr>
          <w:b/>
        </w:rPr>
        <w:t>Primera. Disposición Complementaria Final</w:t>
        <w:br/>
      </w:r>
      <w:r>
        <w:t>El Poder Ejecutivo reglamenta la presente ley en un plazo de ciento veinte (120) días hábiles, con refrendo del Ministerio de Vivienda, Construcción y Saneamiento, la Presidencia del Consejo de Ministros y el Ministerio de Economía y Finanzas.</w:t>
      </w:r>
    </w:p>
    <w:p>
      <w:pPr>
        <w:jc w:val="both"/>
      </w:pPr>
      <w:r>
        <w:rPr>
          <w:b/>
        </w:rPr>
        <w:t>Segunda. Disposición Complementaria Final</w:t>
        <w:br/>
      </w:r>
      <w:r>
        <w:t>El Consejo Nacional de Catastro aprueba, en el mismo plazo, los estándares técnicos del Código Único Catastral y de intercambio de información geoespacial.</w:t>
      </w:r>
    </w:p>
    <w:p>
      <w:pPr>
        <w:jc w:val="both"/>
      </w:pPr>
      <w:r>
        <w:rPr>
          <w:b/>
        </w:rPr>
        <w:t>Tercera. Disposición Complementaria Final</w:t>
        <w:br/>
      </w:r>
      <w:r>
        <w:t>La implementación se financia con cargo al presupuesto institucional de las entidades involucradas,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La Ley 28294 (2004) creó el Sistema Nacional Integrado de Información Catastral Predial para unificar estándares entre las entidades generadoras de catastro (municipalidades, SUNARP, Instituto Geográfico Nacional, entre otras) y vincularlo con el Registro de Predios. Dos décadas después, la información catastral sigue fragmentada: municipalidades con catastros desactualizados o inexistentes, bases distintas para fines tributarios, registrales, de saneamiento y de gestión de riesgos, y ausencia de un identificador único de predio compartido por todas las entidades. Ello reduce la recaudación del impuesto predial, que depende de la valorización municipal, dificulta la planificación urbana y la respuesta ante desastres, y genera superposiciones registrales. La ley no contempla el uso de tecnologías hoy accesibles —ortoimágenes, levantamientos con drones, modelos tridimensionales— ni los gemelos digitales urbanos, que integran catastro, redes de servicios y modelos de riesgo. España (Ley del Catastro Inmobiliario, catastro único y abierto) y la Unión Europea (Directiva INSPIRE) muestran que un catastro único e interoperable con datos espaciales abiertos es infraestructura básica de un Estado moderno.</w:t>
      </w:r>
    </w:p>
    <w:p>
      <w:pPr>
        <w:pStyle w:val="Heading2"/>
      </w:pPr>
      <w:r>
        <w:t>II. Objeto</w:t>
      </w:r>
    </w:p>
    <w:p>
      <w:pPr>
        <w:jc w:val="both"/>
      </w:pPr>
      <w:r>
        <w:t>Establecer el catastro digital multipropósito, con identificador único de predio y datos geoespaciales interoperables, y habilitar los gemelos digitales urbanos.</w:t>
      </w:r>
    </w:p>
    <w:p>
      <w:pPr>
        <w:pStyle w:val="Heading2"/>
      </w:pPr>
      <w:r>
        <w:t>III. Análisis costo-beneficio</w:t>
      </w:r>
    </w:p>
    <w:p>
      <w:pPr>
        <w:jc w:val="both"/>
      </w:pPr>
      <w:r>
        <w:t>El levantamiento y actualización catastral tiene costo relevante para las municipalidades, en particular las rurales; la ley no lo impone de golpe, sino que establece estándares comunes, actualización continua a partir de trámites ya existentes y fuentes de financiamiento vía inversión pública. Los gemelos digitales son facultativos. Beneficios: mejor base para la recaudación predial (recurso propio municipal), seguridad jurídica de la propiedad, reducción de superposiciones registrales, planificación urbana y gestión del riesgo con información confiable. El efecto recaudatorio debe estimarse por municipalidad en el reglamento; no se presenta una cifra agregada por falta de fuente verificada. Costo fiscal estimado: medio, financiado con recursos existentes.</w:t>
      </w:r>
    </w:p>
    <w:p>
      <w:pPr>
        <w:pStyle w:val="Heading2"/>
      </w:pPr>
      <w:r>
        <w:t>IV. Efecto de la vigencia de la norma sobre la legislación nacional</w:t>
      </w:r>
    </w:p>
    <w:p>
      <w:pPr>
        <w:jc w:val="both"/>
      </w:pPr>
      <w:r>
        <w:t>Modifica la Ley 28294 (incorpora una disposición complementaria final). Complementa la Ley 27972 (competencias municipales en catastro) y el marco de inversión pública.</w:t>
      </w:r>
    </w:p>
    <w:p>
      <w:pPr>
        <w:pStyle w:val="Heading2"/>
      </w:pPr>
      <w:r>
        <w:t>V. Antecedentes</w:t>
      </w:r>
    </w:p>
    <w:p>
      <w:pPr>
        <w:jc w:val="both"/>
      </w:pPr>
      <w:r>
        <w:t>Por verificar en SPLEY.</w:t>
      </w:r>
    </w:p>
    <w:p>
      <w:pPr>
        <w:pStyle w:val="Heading2"/>
      </w:pPr>
      <w:r>
        <w:t>VI. Indicador de éxito</w:t>
      </w:r>
    </w:p>
    <w:p>
      <w:pPr>
        <w:jc w:val="both"/>
      </w:pPr>
      <w:r>
        <w:t>A 2031, el 100% de las municipalidades provinciales capitales de departamento cuentan con catastro digital con Código Único Catastral interoperable con SUNARP, y al menos cinco ciudades operan un gemelo digital urbano.</w:t>
      </w:r>
    </w:p>
    <w:p>
      <w:pPr>
        <w:pStyle w:val="Heading2"/>
      </w:pPr>
      <w:r>
        <w:t>VII. Vinculación con la Agenda Legislativa y el Plan Perú 2050</w:t>
      </w:r>
    </w:p>
    <w:p>
      <w:r>
        <w:t>Comisiones temáticas del Plan Perú 2050: Ciudades Inteligentes, Desarrollo Urbano, Transformación Digital. ODS: 11, 16, 9.</w:t>
      </w:r>
    </w:p>
    <w:p>
      <w:pPr>
        <w:pStyle w:val="Heading2"/>
      </w:pPr>
      <w:r>
        <w:t>VIII. Referencias</w:t>
      </w:r>
    </w:p>
    <w:p>
      <w:pPr>
        <w:pStyle w:val="ListBullet"/>
      </w:pPr>
      <w:r>
        <w:t>Ley 28294, Ley que crea el Sistema Nacional Integrado de Catastro y su vinculación con el Registro de Predios — https://www.leyes.congreso.gob.pe/Documentos/Leyes/28294.pdf</w:t>
      </w:r>
    </w:p>
    <w:p>
      <w:pPr>
        <w:pStyle w:val="ListBullet"/>
      </w:pPr>
      <w:r>
        <w:t>Ley 27972, Ley Orgánica de Municipalidades — https://www.leyes.congreso.gob.pe/Documentos/Leyes/27972.pdf</w:t>
      </w:r>
    </w:p>
    <w:p>
      <w:pPr>
        <w:pStyle w:val="ListBullet"/>
      </w:pPr>
      <w:r>
        <w:t>Decreto Legislativo 776, Ley de Tributación Municipal (Fondo de Compensación Municipal) — https://www.leyes.congreso.gob.pe/Documentos/DecretosLegislativos/00776.pdf</w:t>
      </w:r>
    </w:p>
    <w:p>
      <w:pPr>
        <w:pStyle w:val="ListBullet"/>
      </w:pPr>
      <w:r>
        <w:t>Ley 27506, Ley de Canon — https://www.leyes.congreso.gob.pe/Documentos/Leyes/27506.pdf</w:t>
      </w:r>
    </w:p>
    <w:p>
      <w:pPr>
        <w:pStyle w:val="ListBullet"/>
      </w:pPr>
      <w:r>
        <w:t>España: Real Decreto Legislativo 1/2004, texto refundido de la Ley del Catastro Inmobiliario — https://www.boe.es/buscar/act.php?id=BOE-A-2004-4163</w:t>
      </w:r>
    </w:p>
    <w:p>
      <w:pPr>
        <w:pStyle w:val="ListBullet"/>
      </w:pPr>
      <w:r>
        <w:t>Unión Europea: Directiva 2007/2/CE INSPIRE, infraestructura de información espacial — https://knowledge-base.inspire.ec.europa.eu/</w:t>
      </w:r>
    </w:p>
    <w:p>
      <w:pPr>
        <w:pStyle w:val="ListBullet"/>
      </w:pPr>
      <w:r>
        <w:t>Plataforma Nacional de Datos Abiertos — https://www.datosabiertos.gob.pe/</w:t>
      </w:r>
    </w:p>
    <w:p>
      <w:pPr>
        <w:pStyle w:val="ListBullet"/>
      </w:pPr>
      <w:r>
        <w:t>PCM, Secretaría de Gobierno y Transformación Digital (portal) — https://www.gob.pe/gobiernodigital</w:t>
      </w:r>
    </w:p>
    <w:p>
      <w:r>
        <w:t>Fuente: Agenda Legislativa Tech Perú 2026–2031 (https://unimauro.github.io/agenda-legislativa-tech/p/GOB-07.html),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el catastro digital multipropósito interoperable y promueve los gemelos digitales urbanos, modificando la Ley 28294</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