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QUE CREA EL REGISTRO NACIONAL DE ALGORITMOS PÚBLICOS Y DISPONE LA PUBLICIDAD DE LAS EVALUACIONES DE IMPACTO DE LOS SISTEMAS DE INTELIGENCIA ARTIFICIAL DEL ESTADO</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QUE CREA EL REGISTRO NACIONAL DE ALGORITMOS PÚBLICOS Y DISPONE LA PUBLICIDAD DE LAS EVALUACIONES DE IMPACTO DE LOS SISTEMAS DE INTELIGENCIA ARTIFICIAL DEL ESTADO</w:t>
      </w:r>
    </w:p>
    <w:p>
      <w:pPr>
        <w:jc w:val="both"/>
      </w:pPr>
      <w:r>
        <w:rPr>
          <w:b/>
        </w:rPr>
        <w:t>Artículo 1. Objeto</w:t>
        <w:br/>
      </w:r>
      <w:r>
        <w:t>La presente ley tiene por objeto crear el Registro Nacional de Algoritmos Públicos y establecer la obligación de las entidades de la Administración Pública de inscribir en él los sistemas basados en inteligencia artificial y los sistemas de decisión automatizada que utilizan, así como de publicar el resumen de la evaluación de impacto algorítmico correspondiente, en desarrollo de los principios de transparencia y enfoque basado en riesgos de la Ley 31814.</w:t>
      </w:r>
    </w:p>
    <w:p>
      <w:pPr>
        <w:jc w:val="both"/>
      </w:pPr>
      <w:r>
        <w:rPr>
          <w:b/>
        </w:rPr>
        <w:t>Artículo 2. Ámbito de aplicación</w:t>
        <w:br/>
      </w:r>
      <w:r>
        <w:t>2.1. La presente ley es de aplicación a las entidades comprendidas en el artículo I del Título Preliminar del Texto Único Ordenado de la Ley 27444, Ley del Procedimiento Administrativo General, a las empresas del Estado y a los organismos constitucionalmente autónomos.</w:t>
        <w:br/>
        <w:t>2.2. Se exceptúa la información cuya publicidad se encuentre restringida conforme a los artículos 15, 16 y 17 del Texto Único Ordenado de la Ley 27806, Ley de Transparencia y Acceso a la Información Pública, lo que debe ser motivado en la ficha de inscripción, sin que ello exima de inscribir la existencia del sistema.</w:t>
      </w:r>
    </w:p>
    <w:p>
      <w:pPr>
        <w:jc w:val="both"/>
      </w:pPr>
      <w:r>
        <w:rPr>
          <w:b/>
        </w:rPr>
        <w:t>Artículo 3. Definiciones</w:t>
        <w:br/>
      </w:r>
      <w:r>
        <w:t>Para efectos de la presente ley se entiende por:</w:t>
        <w:br/>
        <w:t>a) Sistema de decisión automatizada: sistema basado en inteligencia artificial o en reglas programadas que adopta, propone o condiciona de manera determinante una decisión administrativa que produce efectos sobre personas naturales o jurídicas.</w:t>
        <w:br/>
        <w:t>b) Evaluación de impacto algorítmico: análisis documentado, previo a la puesta en producción y actualizado periódicamente, de los riesgos para los derechos fundamentales, la igualdad y la no discriminación, la privacidad y la seguridad, y de las medidas de mitigación adoptadas.</w:t>
        <w:br/>
        <w:t>c) Ficha de inscripción: formato estandarizado que contiene la información mínima prevista en el artículo 5.</w:t>
      </w:r>
    </w:p>
    <w:p>
      <w:pPr>
        <w:jc w:val="both"/>
      </w:pPr>
      <w:r>
        <w:rPr>
          <w:b/>
        </w:rPr>
        <w:t>Artículo 4. Creación y administración del Registro</w:t>
        <w:br/>
      </w:r>
      <w:r>
        <w:t>4.1. Créase el Registro Nacional de Algoritmos Públicos, a cargo de la Presidencia del Consejo de Ministros a través de la Secretaría de Gobierno y Transformación Digital, como plataforma digital de acceso libre y gratuito, en formato abierto y legible por máquina.</w:t>
        <w:br/>
        <w:t>4.2. El Registro se integra a la Plataforma Nacional de Datos Abiertos y se interopera con el Catálogo IA Perú previsto en la Estrategia Nacional de Inteligencia Artificial.</w:t>
      </w:r>
    </w:p>
    <w:p>
      <w:pPr>
        <w:jc w:val="both"/>
      </w:pPr>
      <w:r>
        <w:rPr>
          <w:b/>
        </w:rPr>
        <w:t>Artículo 5. Contenido mínimo de la ficha de inscripción</w:t>
        <w:br/>
      </w:r>
      <w:r>
        <w:t>La ficha de inscripción contiene, como mínimo: a) entidad responsable y unidad orgánica usuaria; b) finalidad y procedimiento administrativo en que interviene el sistema; c) nivel de riesgo conforme al Reglamento de la Ley 31814; d) categorías de datos utilizados y su origen; e) descripción comprensible de la lógica de funcionamiento y de las variables de mayor peso; f) proveedor y modalidad de adquisición o desarrollo; g) mecanismo de supervisión humana; h) métricas de desempeño y de sesgo evaluadas; i) resumen de la evaluación de impacto algorítmico; j) canal para solicitar explicación o revisión; y k) fecha de puesta en producción y de última actualización.</w:t>
      </w:r>
    </w:p>
    <w:p>
      <w:pPr>
        <w:jc w:val="both"/>
      </w:pPr>
      <w:r>
        <w:rPr>
          <w:b/>
        </w:rPr>
        <w:t>Artículo 6. Oportunidad de la inscripción</w:t>
        <w:br/>
      </w:r>
      <w:r>
        <w:t>6.1. La inscripción es previa a la puesta en producción del sistema. Ningún sistema de riesgo alto puede ser utilizado para adoptar decisiones sobre personas sin contar con inscripción vigente.</w:t>
        <w:br/>
        <w:t>6.2. Las entidades actualizan la ficha ante cualquier cambio sustancial del sistema y, en todo caso, una vez al año.</w:t>
        <w:br/>
        <w:t>6.3. La baja o retiro de un sistema también se registra, conservándose el historial.</w:t>
      </w:r>
    </w:p>
    <w:p>
      <w:pPr>
        <w:jc w:val="both"/>
      </w:pPr>
      <w:r>
        <w:rPr>
          <w:b/>
        </w:rPr>
        <w:t>Artículo 7. Publicidad de la evaluación de impacto algorítmico</w:t>
        <w:br/>
      </w:r>
      <w:r>
        <w:t>7.1. El resumen de la evaluación de impacto algorítmico de los sistemas de riesgo alto se publica íntegramente en el Registro. El documento completo se conserva por la entidad y se pone a disposición de la Contraloría General de la República, de la Defensoría del Pueblo y de la Autoridad Nacional de Protección de Datos Personales cuando estas lo requieran.</w:t>
        <w:br/>
        <w:t>7.2. La SGTD aprueba el modelo de evaluación de impacto algorítmico, compatible con la NTP-ISO/IEC 42001 y con la evaluación de impacto en protección de datos personales.</w:t>
      </w:r>
    </w:p>
    <w:p>
      <w:pPr>
        <w:jc w:val="both"/>
      </w:pPr>
      <w:r>
        <w:rPr>
          <w:b/>
        </w:rPr>
        <w:t>Artículo 8. Auditoría ciudadana y académica</w:t>
        <w:br/>
      </w:r>
      <w:r>
        <w:t>Las universidades, colegios profesionales y organizaciones de la sociedad civil pueden presentar observaciones técnicas sobre los sistemas inscritos a través del Registro. La entidad responsable da respuesta motivada en un plazo no mayor de treinta días hábiles, la que también se publica.</w:t>
      </w:r>
    </w:p>
    <w:p>
      <w:pPr>
        <w:jc w:val="both"/>
      </w:pPr>
      <w:r>
        <w:rPr>
          <w:b/>
        </w:rPr>
        <w:t>Artículo 9. Responsabilidad</w:t>
        <w:br/>
      </w:r>
      <w:r>
        <w:t>El incumplimiento de las obligaciones de la presente ley por parte de funcionarios y servidores públicos constituye falta administrativa, que se determina conforme a la Ley 30057, Ley del Servicio Civil, y a las normas de control, sin perjuicio de las demás responsabilidades a que hubiere lugar.</w:t>
      </w:r>
    </w:p>
    <w:p>
      <w:pPr>
        <w:jc w:val="both"/>
      </w:pPr>
      <w:r>
        <w:rPr>
          <w:b/>
        </w:rPr>
        <w:t>Artículo 10. Informe anual</w:t>
        <w:br/>
      </w:r>
      <w:r>
        <w:t>La Presidencia del Consejo de Ministros incluye en el informe anual al Congreso de la República previsto en el artículo 5 de la Ley 31814 un capítulo sobre el estado del Registro, el número de sistemas inscritos por nivel de riesgo y las entidades que incumplen su inscripción.</w:t>
      </w:r>
    </w:p>
    <w:p>
      <w:pPr>
        <w:jc w:val="both"/>
      </w:pPr>
      <w:r>
        <w:rPr>
          <w:b/>
        </w:rPr>
        <w:t>Primera. Disposición Complementaria Final</w:t>
        <w:br/>
      </w:r>
      <w:r>
        <w:t>Reglamentación. El Poder Ejecutivo, mediante decreto supremo refrendado por la Presidencia del Consejo de Ministros, reglamenta la presente ley en un plazo de noventa días hábiles contados desde su entrada en vigencia.</w:t>
      </w:r>
    </w:p>
    <w:p>
      <w:pPr>
        <w:jc w:val="both"/>
      </w:pPr>
      <w:r>
        <w:rPr>
          <w:b/>
        </w:rPr>
        <w:t>Segunda. Disposición Complementaria Final</w:t>
        <w:br/>
      </w:r>
      <w:r>
        <w:t>Adecuación. Las entidades inscriben los sistemas que se encuentren en producción a la fecha de entrada en vigencia del reglamento en los mismos plazos de implementación gradual que la Primera Disposición Complementaria Final del Reglamento de la Ley 31814 establece según el tipo de entidad.</w:t>
      </w:r>
    </w:p>
    <w:p>
      <w:pPr>
        <w:jc w:val="both"/>
      </w:pPr>
      <w:r>
        <w:rPr>
          <w:b/>
        </w:rPr>
        <w:t>Tercera. Disposición Complementaria Final</w:t>
        <w:br/>
      </w:r>
      <w:r>
        <w:t>Financiamiento. La implementación de la presente ley se financia con cargo al presupuesto institucional de los pliegos involucrados, sin demandar recursos adicionales al Tesoro Público.</w:t>
      </w:r>
    </w:p>
    <w:p>
      <w:pPr>
        <w:jc w:val="both"/>
      </w:pPr>
      <w:r>
        <w:rPr>
          <w:b/>
        </w:rPr>
        <w:t>Cuarta. Disposición Complementaria Final</w:t>
        <w:br/>
      </w:r>
      <w:r>
        <w:t>Vigencia. La presente ley entra en vigencia al día siguiente de la publicación de su reglamento.</w:t>
      </w:r>
    </w:p>
    <w:p>
      <w:r>
        <w:t>Lima, ___ de __________ de 20__</w:t>
      </w:r>
    </w:p>
    <w:p>
      <w:r>
        <w:br w:type="page"/>
      </w:r>
    </w:p>
    <w:p>
      <w:pPr>
        <w:pStyle w:val="Heading1"/>
      </w:pPr>
      <w:r>
        <w:t>EXPOSICIÓN DE MOTIVOS</w:t>
      </w:r>
    </w:p>
    <w:p>
      <w:pPr>
        <w:pStyle w:val="Heading2"/>
      </w:pPr>
      <w:r>
        <w:t>I. Fundamentos y problema</w:t>
      </w:r>
    </w:p>
    <w:p>
      <w:pPr>
        <w:jc w:val="both"/>
      </w:pPr>
      <w:r>
        <w:t>La Ley 31814 encarga a la PCM, a través de la Secretaría de Gobierno y Transformación Digital (SGTD), la rectoría en IA, y su Reglamento (D.S. 115-2025-PCM) obliga a las entidades públicas a realizar una evaluación de impacto previa para sistemas de riesgo alto (art. 30.1) y a explicar resultados a las personas afectadas (art. 25.3). Sin embargo, el Reglamento no crea un catálogo centralizado y público de los sistemas que el Estado ya utiliza: solo prevé su inclusión en el Plan de Gobierno Digital de cada entidad y la publicación de código fuente financiado con fondos públicos (art. 28.8). La ENIA 2026–2030 (R.M. 152-2026-PCM) crea el «Catálogo IA Perú» como plataforma colaborativa de modelos y datos, pero no como instrumento de rendición de cuentas. En consecuencia, la ciudadanía, la prensa, la Contraloría y el propio Congreso no pueden saber qué algoritmos intervienen en la asignación de programas sociales, fiscalización tributaria, selección de personal o priorización de servicios, todos ellos supuestos que el Reglamento califica como de riesgo alto (art. 24.1). Países como Países Bajos, Reino Unido, Chile y Canadá ya operan registros o estándares públicos de transparencia algorítmica. El Plan IA Perú 2050 (CIP/CNPP) fija como meta la «implementación efectiva de la Ley 31814» con supervisión operativa al 2030, lo que exige información pública verificable.</w:t>
      </w:r>
    </w:p>
    <w:p>
      <w:pPr>
        <w:pStyle w:val="Heading2"/>
      </w:pPr>
      <w:r>
        <w:t>II. Objeto</w:t>
      </w:r>
    </w:p>
    <w:p>
      <w:pPr>
        <w:jc w:val="both"/>
      </w:pPr>
      <w:r>
        <w:t>Crear el Registro Nacional de Algoritmos Públicos, de acceso abierto, y establecer la obligación de las entidades públicas de inscribir sus sistemas de IA y de decisión automatizada y publicar el resumen de su evaluación de impacto algorítmico.</w:t>
      </w:r>
    </w:p>
    <w:p>
      <w:pPr>
        <w:pStyle w:val="Heading2"/>
      </w:pPr>
      <w:r>
        <w:t>III. Análisis costo-beneficio</w:t>
      </w:r>
    </w:p>
    <w:p>
      <w:pPr>
        <w:jc w:val="both"/>
      </w:pPr>
      <w:r>
        <w:t>El costo es bajo: la plataforma puede desarrollarse sobre la infraestructura de la Plataforma Nacional de Datos Abiertos y del Catálogo IA Perú ya previstos, y la evaluación de impacto ya es obligatoria para sistemas de riesgo alto según el art. 30.1 del Reglamento de la Ley 31814; la ley solo agrega su inscripción y publicidad. El costo marginal recae en horas de personal para llenar fichas estandarizadas. Los beneficios son la detección temprana de sesgos y errores antes de que generen litigios o afectaciones masivas, mejores condiciones para el control gubernamental y la confianza ciudadana necesaria para escalar la IA en el Estado. No genera gasto adicional al Tesoro: se financia con el presupuesto institucional de la PCM y de cada pliego.</w:t>
      </w:r>
    </w:p>
    <w:p>
      <w:pPr>
        <w:pStyle w:val="Heading2"/>
      </w:pPr>
      <w:r>
        <w:t>IV. Efecto de la vigencia de la norma sobre la legislación nacional</w:t>
      </w:r>
    </w:p>
    <w:p>
      <w:pPr>
        <w:jc w:val="both"/>
      </w:pPr>
      <w:r>
        <w:t>Complementa la Ley 31814 y su Reglamento (D.S. 115-2025-PCM) y el TUO de la Ley 27806. No deroga norma alguna.</w:t>
      </w:r>
    </w:p>
    <w:p>
      <w:pPr>
        <w:pStyle w:val="Heading2"/>
      </w:pPr>
      <w:r>
        <w:t>V. Antecedentes</w:t>
      </w:r>
    </w:p>
    <w:p>
      <w:pPr>
        <w:jc w:val="both"/>
      </w:pPr>
      <w:r>
        <w:t>Por verificar en SPLEY. El marco vigente es la Ley 31814 y su Reglamento, que no crean un registro público centralizado de sistemas de IA del Estado.</w:t>
      </w:r>
    </w:p>
    <w:p>
      <w:pPr>
        <w:pStyle w:val="Heading2"/>
      </w:pPr>
      <w:r>
        <w:t>VI. Indicador de éxito</w:t>
      </w:r>
    </w:p>
    <w:p>
      <w:pPr>
        <w:jc w:val="both"/>
      </w:pPr>
      <w:r>
        <w:t>Al 2031, 100% de las entidades del Poder Ejecutivo y de los gobiernos regionales con sus sistemas de riesgo alto inscritos y con resumen de evaluación de impacto publicado en formato abierto.</w:t>
      </w:r>
    </w:p>
    <w:p>
      <w:pPr>
        <w:pStyle w:val="Heading2"/>
      </w:pPr>
      <w:r>
        <w:t>VII. Vinculación con la Agenda Legislativa y el Plan Perú 2050</w:t>
      </w:r>
    </w:p>
    <w:p>
      <w:r>
        <w:t>Comisiones temáticas del Plan Perú 2050: Inteligencia Artificial, Transformación Digital, Ética. ODS: 9, 16.</w:t>
      </w:r>
    </w:p>
    <w:p>
      <w:pPr>
        <w:pStyle w:val="Heading2"/>
      </w:pPr>
      <w:r>
        <w:t>VIII. Referencias</w:t>
      </w:r>
    </w:p>
    <w:p>
      <w:pPr>
        <w:pStyle w:val="ListBullet"/>
      </w:pPr>
      <w:r>
        <w:t>Ley 31814, Ley que promueve el uso de la inteligencia artificial en favor del desarrollo económico y social del país — https://busquedas.elperuano.pe/dispositivo/NL/2192926-1</w:t>
      </w:r>
    </w:p>
    <w:p>
      <w:pPr>
        <w:pStyle w:val="ListBullet"/>
      </w:pPr>
      <w:r>
        <w:t>Decreto Supremo 115-2025-PCM, Reglamento de la Ley 31814 — https://busquedas.elperuano.pe/dispositivo/NL/2436426-1</w:t>
      </w:r>
    </w:p>
    <w:p>
      <w:pPr>
        <w:pStyle w:val="ListBullet"/>
      </w:pPr>
      <w:r>
        <w:t>Resolución Ministerial 152-2026-PCM, Estrategia Nacional de Inteligencia Artificial 2026-2030 — https://busquedas.elperuano.pe/dispositivo/NL/2511535-1</w:t>
      </w:r>
    </w:p>
    <w:p>
      <w:pPr>
        <w:pStyle w:val="ListBullet"/>
      </w:pPr>
      <w:r>
        <w:t>Ley 27806, Ley de Transparencia y Acceso a la Información Pública — https://www.leyes.congreso.gob.pe/Documentos/Leyes/27806.pdf</w:t>
      </w:r>
    </w:p>
    <w:p>
      <w:pPr>
        <w:pStyle w:val="ListBullet"/>
      </w:pPr>
      <w:r>
        <w:t>Países Bajos: Algoritmeregister (Registro de algoritmos del Gobierno) — https://algoritmes.overheid.nl</w:t>
      </w:r>
    </w:p>
    <w:p>
      <w:pPr>
        <w:pStyle w:val="ListBullet"/>
      </w:pPr>
      <w:r>
        <w:t>Reino Unido: Algorithmic Transparency Recording Standard (ATRS) — https://www.gov.uk/government/collections/algorithmic-transparency-recording-standard-hub</w:t>
      </w:r>
    </w:p>
    <w:p>
      <w:pPr>
        <w:pStyle w:val="ListBullet"/>
      </w:pPr>
      <w:r>
        <w:t>Canadá: Directive on Automated Decision-Making (Algorithmic Impact Assessment) — https://www.tbs-sct.canada.ca/pol/doc-eng.aspx?id=32592</w:t>
      </w:r>
    </w:p>
    <w:p>
      <w:pPr>
        <w:pStyle w:val="ListBullet"/>
      </w:pPr>
      <w:r>
        <w:t>Chile: Repositorio de Algoritmos Públicos (GobLab UAI) — https://algoritmospublicos.cl</w:t>
      </w:r>
    </w:p>
    <w:p>
      <w:pPr>
        <w:pStyle w:val="ListBullet"/>
      </w:pPr>
      <w:r>
        <w:t>Reglamento de la Ley 31814 (D.S. 115-2025-PCM), El Peruano — https://busquedas.elperuano.pe/dispositivo/NL/2436426-1</w:t>
      </w:r>
    </w:p>
    <w:p>
      <w:pPr>
        <w:pStyle w:val="ListBullet"/>
      </w:pPr>
      <w:r>
        <w:t>Aprueban la Estrategia Nacional de Inteligencia Artificial 2026-2030 (R.M. 152-2026-PCM) — https://busquedas.elperuano.pe/dispositivo/NL/2511535-1</w:t>
      </w:r>
    </w:p>
    <w:p>
      <w:pPr>
        <w:pStyle w:val="ListBullet"/>
      </w:pPr>
      <w:r>
        <w:t>OCDE, Recomendación del Consejo sobre Inteligencia Artificial (OECD-LEGAL-0449) — https://legalinstruments.oecd.org/en/instruments/OECD-LEGAL-0449</w:t>
      </w:r>
    </w:p>
    <w:p>
      <w:r>
        <w:t>Fuente: Agenda Legislativa Tech Perú 2026–2031 (https://unimauro.github.io/agenda-legislativa-tech/p/IA-01.html),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que crea el Registro Nacional de Algoritmos Públicos y dispone la publicidad de las evaluaciones de impacto de los sistemas de inteligencia artificial del Estado</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