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RÉGIMEN DEL ESPACIO CONTROLADO DE PRUEBAS REGULATORIAS PARA SISTEMAS DE INTELIGENCIA ARTIFICIAL Y LA COORDINACIÓN ENTRE AUTORIDADES SECTORIALES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RÉGIMEN DEL ESPACIO CONTROLADO DE PRUEBAS REGULATORIAS PARA SISTEMAS DE INTELIGENCIA ARTIFICIAL Y LA COORDINACIÓN ENTRE AUTORIDADES SECTORIALES</w:t>
      </w:r>
    </w:p>
    <w:p>
      <w:pPr>
        <w:jc w:val="both"/>
      </w:pPr>
      <w:r>
        <w:rPr>
          <w:b/>
        </w:rPr>
        <w:t>Artículo 1. Objeto</w:t>
        <w:br/>
      </w:r>
      <w:r>
        <w:t>La presente ley tiene por objeto establecer el régimen jurídico del espacio controlado de pruebas regulatorias para sistemas de inteligencia artificial, en adelante el Espacio de Pruebas, a fin de promover la innovación responsable y generar evidencia para la mejora regulatoria.</w:t>
      </w:r>
    </w:p>
    <w:p>
      <w:pPr>
        <w:jc w:val="both"/>
      </w:pPr>
      <w:r>
        <w:rPr>
          <w:b/>
        </w:rPr>
        <w:t>Artículo 2. Autoridad conductora y autoridades participantes</w:t>
        <w:br/>
      </w:r>
      <w:r>
        <w:t>2.1. La Presidencia del Consejo de Ministros, a través de la Secretaría de Gobierno y Transformación Digital, conduce el Espacio de Pruebas.</w:t>
        <w:br/>
        <w:t>2.2. Cuando el proyecto involucre materias sujetas a supervisión sectorial, participan obligatoriamente la autoridad sectorial competente y, si hay tratamiento de datos personales, la Autoridad Nacional de Protección de Datos Personales. El Instituto Nacional de Defensa de la Competencia y de la Protección de la Propiedad Intelectual (INDECOPI) participa cuando el sistema se dirija a consumidores.</w:t>
        <w:br/>
        <w:t>2.3. Los organismos reguladores y entidades con autonomía pueden establecer espacios propios o adherirse al Espacio de Pruebas mediante convenio.</w:t>
      </w:r>
    </w:p>
    <w:p>
      <w:pPr>
        <w:jc w:val="both"/>
      </w:pPr>
      <w:r>
        <w:rPr>
          <w:b/>
        </w:rPr>
        <w:t>Artículo 3. Elegibilidad</w:t>
        <w:br/>
      </w:r>
      <w:r>
        <w:t>Pueden postular personas naturales o jurídicas, públicas o privadas, nacionales o extranjeras con representación en el país, y universidades, que acrediten: a) carácter innovador del sistema; b) beneficio potencial para usuarios o para el interés público; c) necesidad real de prueba en condiciones controladas; d) plan de gestión de riesgos y de salida; y e) capacidad para indemnizar daños.</w:t>
      </w:r>
    </w:p>
    <w:p>
      <w:pPr>
        <w:jc w:val="both"/>
      </w:pPr>
      <w:r>
        <w:rPr>
          <w:b/>
        </w:rPr>
        <w:t>Artículo 4. Flexibilizaciones permitidas</w:t>
        <w:br/>
      </w:r>
      <w:r>
        <w:t>4.1. Mediante resolución motivada y conjunta, las autoridades participantes pueden eximir temporalmente del cumplimiento de requisitos de rango reglamentario o administrativo de su competencia, o modular su aplicación, durante la prueba.</w:t>
        <w:br/>
        <w:t>4.2. No son objeto de flexibilización: los derechos fundamentales; los usos prohibidos previstos en el Reglamento de la Ley 31814; las obligaciones de seguridad de los datos personales; la responsabilidad civil por daños; ni las normas penales.</w:t>
      </w:r>
    </w:p>
    <w:p>
      <w:pPr>
        <w:jc w:val="both"/>
      </w:pPr>
      <w:r>
        <w:rPr>
          <w:b/>
        </w:rPr>
        <w:t>Artículo 5. Salvaguardas para los participantes</w:t>
        <w:br/>
      </w:r>
      <w:r>
        <w:t>5.1. Toda persona que interactúe con un sistema en prueba otorga consentimiento informado previo, expreso y revocable, y es informada de que se trata de un sistema experimental.</w:t>
        <w:br/>
        <w:t>5.2. El participante del Espacio de Pruebas mantiene una garantía o seguro proporcional al riesgo y un canal de atención de reclamos.</w:t>
        <w:br/>
        <w:t>5.3. Las autoridades pueden suspender la prueba de inmediato ante un riesgo no previsto para la vida, la salud, la seguridad o los derechos de las personas.</w:t>
      </w:r>
    </w:p>
    <w:p>
      <w:pPr>
        <w:jc w:val="both"/>
      </w:pPr>
      <w:r>
        <w:rPr>
          <w:b/>
        </w:rPr>
        <w:t>Artículo 6. Plazo y salida</w:t>
        <w:br/>
      </w:r>
      <w:r>
        <w:t>6.1. La prueba tiene una duración máxima de doce meses, prorrogable por única vez hasta por seis meses.</w:t>
        <w:br/>
        <w:t>6.2. Al finalizar, las autoridades emiten un informe de salida que determina si el sistema puede operar bajo el marco vigente, requiere autorización específica o no es viable. La participación no constituye autorización tácita para operar fuera del Espacio de Pruebas.</w:t>
      </w:r>
    </w:p>
    <w:p>
      <w:pPr>
        <w:jc w:val="both"/>
      </w:pPr>
      <w:r>
        <w:rPr>
          <w:b/>
        </w:rPr>
        <w:t>Artículo 7. Transparencia y aprendizaje regulatorio</w:t>
        <w:br/>
      </w:r>
      <w:r>
        <w:t>7.1. La Secretaría de Gobierno y Transformación Digital publica la relación de proyectos admitidos, las flexibilizaciones otorgadas, los incidentes reportados y los informes de salida, protegiendo los secretos comerciales debidamente acreditados.</w:t>
        <w:br/>
        <w:t>7.2. Cada año, las autoridades participantes identifican las barreras normativas detectadas y proponen su modificación al órgano competente.</w:t>
      </w:r>
    </w:p>
    <w:p>
      <w:pPr>
        <w:jc w:val="both"/>
      </w:pPr>
      <w:r>
        <w:rPr>
          <w:b/>
        </w:rPr>
        <w:t>Artículo 8. Acceso preferente de MIPYME y universidades</w:t>
        <w:br/>
      </w:r>
      <w:r>
        <w:t>La convocatoria reserva al menos la mitad de los cupos disponibles para micro y pequeñas empresas, emprendimientos innovadores y universidades, y establece procedimientos simplificados y sin costo para ellos.</w:t>
      </w:r>
    </w:p>
    <w:p>
      <w:pPr>
        <w:jc w:val="both"/>
      </w:pPr>
      <w:r>
        <w:rPr>
          <w:b/>
        </w:rPr>
        <w:t>Primera. Disposición Complementaria Final</w:t>
        <w:br/>
      </w:r>
      <w:r>
        <w:t>Reglamentación. El Poder Ejecutivo adecúa el artículo 17 del Reglamento de la Ley 31814 a la presente ley en un plazo de noventa días hábiles.</w:t>
      </w:r>
    </w:p>
    <w:p>
      <w:pPr>
        <w:jc w:val="both"/>
      </w:pPr>
      <w:r>
        <w:rPr>
          <w:b/>
        </w:rPr>
        <w:t>Segunda. Disposición Complementaria Final</w:t>
        <w:br/>
      </w:r>
      <w:r>
        <w:t>Financiamiento. La implementación se financia con cargo al presupuesto institucional de la Presidencia del Consejo de Ministros y de las autoridades participantes, sin demandar recursos adicionales al Tesoro Público.</w:t>
      </w:r>
    </w:p>
    <w:p>
      <w:pPr>
        <w:jc w:val="both"/>
      </w:pPr>
      <w:r>
        <w:rPr>
          <w:b/>
        </w:rPr>
        <w:t>Tercera. Disposición Complementaria Final</w:t>
        <w:br/>
      </w:r>
      <w:r>
        <w:t>Evaluación. A los tres años de vigencia, la Presidencia del Consejo de Ministros remite al Congreso de la República un informe de evaluación del Espacio de Pruebas.</w:t>
      </w:r>
    </w:p>
    <w:p>
      <w:pPr>
        <w:jc w:val="both"/>
      </w:pPr>
      <w:r>
        <w:rPr>
          <w:b/>
        </w:rPr>
        <w:t>Cuarta. Disposición Complementaria Final</w:t>
        <w:br/>
      </w:r>
      <w:r>
        <w:t>Vigencia. La presente ley entra en vigencia al día siguiente de su publicación en el diario oficial El Peruano.</w:t>
      </w:r>
    </w:p>
    <w:p>
      <w:r>
        <w:t>Lima, ___ de __________ de 20__</w:t>
      </w:r>
    </w:p>
    <w:p>
      <w:r>
        <w:br w:type="page"/>
      </w:r>
    </w:p>
    <w:p>
      <w:pPr>
        <w:pStyle w:val="Heading1"/>
      </w:pPr>
      <w:r>
        <w:t>EXPOSICIÓN DE MOTIVOS</w:t>
      </w:r>
    </w:p>
    <w:p>
      <w:pPr>
        <w:pStyle w:val="Heading2"/>
      </w:pPr>
      <w:r>
        <w:t>I. Fundamentos y problema</w:t>
      </w:r>
    </w:p>
    <w:p>
      <w:pPr>
        <w:jc w:val="both"/>
      </w:pPr>
      <w:r>
        <w:t>El Reglamento de la Ley 31814 (D.S. 115-2025-PCM, art. 17) prevé un entorno de experimentación y prueba controlada a cargo de la SGTD, y la ENIA 2026–2030 incluye el sandbox regulatorio en su eje de innovación. Sin embargo, al ser una norma reglamentaria emitida por la PCM, ese entorno no puede flexibilizar exigencias contenidas en leyes sectoriales ni vincular a reguladores con autonomía (por ejemplo, en salud, educación, protección de datos o consumo), que son precisamente los sectores donde el propio Reglamento ubica los usos de riesgo alto (art. 24.1). Tampoco fija salvaguardas mínimas para las personas que participan en las pruebas, plazos máximos, criterios de salida ni la obligación de publicar aprendizajes regulatorios. El resultado previsible es un sandbox con baja demanda o de alcance meramente declarativo. El Plan IA Perú 2050 (CIP/CNPP) proyecta que 30% de las empresas medianas y grandes usen IA en procesos centrales al 2030 y la ENIA fija como meta 4,750 MYPE incorporando soluciones de IA; ambas metas requieren canales seguros para probar soluciones innovadoras sin incertidumbre jurídica. España (Real Decreto 817/2023) y el Reglamento europeo de IA (arts. 57 a 59) ya regulan estos espacios con rango normativo suficiente.</w:t>
      </w:r>
    </w:p>
    <w:p>
      <w:pPr>
        <w:pStyle w:val="Heading2"/>
      </w:pPr>
      <w:r>
        <w:t>II. Objeto</w:t>
      </w:r>
    </w:p>
    <w:p>
      <w:pPr>
        <w:jc w:val="both"/>
      </w:pPr>
      <w:r>
        <w:t>Establecer con rango de ley el régimen del espacio controlado de pruebas regulatorias para sistemas de IA, la coordinación con autoridades sectoriales y las salvaguardas para los participantes.</w:t>
      </w:r>
    </w:p>
    <w:p>
      <w:pPr>
        <w:pStyle w:val="Heading2"/>
      </w:pPr>
      <w:r>
        <w:t>III. Análisis costo-beneficio</w:t>
      </w:r>
    </w:p>
    <w:p>
      <w:pPr>
        <w:jc w:val="both"/>
      </w:pPr>
      <w:r>
        <w:t>El costo es bajo: se reutiliza la estructura de la SGTD y de los reguladores existentes, y la carga principal es la evaluación de postulaciones. Los participantes asumen sus propios costos y garantías. El beneficio es doble: reduce la incertidumbre jurídica que frena inversiones en IA aplicada en sectores regulados y produce evidencia empírica para que las normas se ajusten a riesgos reales y no supuestos. El riesgo de captura regulatoria se mitiga con la publicidad de las flexibilizaciones y la prohibición de flexibilizar derechos fundamentales. No genera gasto adicional al Tesoro.</w:t>
      </w:r>
    </w:p>
    <w:p>
      <w:pPr>
        <w:pStyle w:val="Heading2"/>
      </w:pPr>
      <w:r>
        <w:t>IV. Efecto de la vigencia de la norma sobre la legislación nacional</w:t>
      </w:r>
    </w:p>
    <w:p>
      <w:pPr>
        <w:jc w:val="both"/>
      </w:pPr>
      <w:r>
        <w:t>Complementa la Ley 31814 y eleva a rango de ley el art. 17 de su Reglamento (D.S. 115-2025-PCM). No deroga normas.</w:t>
      </w:r>
    </w:p>
    <w:p>
      <w:pPr>
        <w:pStyle w:val="Heading2"/>
      </w:pPr>
      <w:r>
        <w:t>V. Antecedentes</w:t>
      </w:r>
    </w:p>
    <w:p>
      <w:pPr>
        <w:jc w:val="both"/>
      </w:pPr>
      <w:r>
        <w:t>Por verificar en SPLEY.</w:t>
      </w:r>
    </w:p>
    <w:p>
      <w:pPr>
        <w:pStyle w:val="Heading2"/>
      </w:pPr>
      <w:r>
        <w:t>VI. Indicador de éxito</w:t>
      </w:r>
    </w:p>
    <w:p>
      <w:pPr>
        <w:jc w:val="both"/>
      </w:pPr>
      <w:r>
        <w:t>Al 2031, al menos 40 proyectos concluidos en el Espacio de Pruebas, con informes de salida publicados y al menos cinco modificaciones normativas originadas en sus aprendizajes.</w:t>
      </w:r>
    </w:p>
    <w:p>
      <w:pPr>
        <w:pStyle w:val="Heading2"/>
      </w:pPr>
      <w:r>
        <w:t>VII. Vinculación con la Agenda Legislativa y el Plan Perú 2050</w:t>
      </w:r>
    </w:p>
    <w:p>
      <w:r>
        <w:t>Comisiones temáticas del Plan Perú 2050: Inteligencia Artificial, Innovación, Mipymes. ODS: 8, 9.</w:t>
      </w:r>
    </w:p>
    <w:p>
      <w:pPr>
        <w:pStyle w:val="Heading2"/>
      </w:pPr>
      <w:r>
        <w:t>VIII. Referencias</w:t>
      </w:r>
    </w:p>
    <w:p>
      <w:pPr>
        <w:pStyle w:val="ListBullet"/>
      </w:pPr>
      <w:r>
        <w:t>Ley 31814, Ley que promueve el uso de la inteligencia artificial — https://busquedas.elperuano.pe/dispositivo/NL/2192926-1</w:t>
      </w:r>
    </w:p>
    <w:p>
      <w:pPr>
        <w:pStyle w:val="ListBullet"/>
      </w:pPr>
      <w:r>
        <w:t>Decreto Supremo 115-2025-PCM, Reglamento de la Ley 31814 (art. 17) — https://busquedas.elperuano.pe/dispositivo/NL/2436426-1</w:t>
      </w:r>
    </w:p>
    <w:p>
      <w:pPr>
        <w:pStyle w:val="ListBullet"/>
      </w:pPr>
      <w:r>
        <w:t>Resolución Ministerial 152-2026-PCM, ENIA 2026-2030 — https://busquedas.elperuano.pe/dispositivo/NL/2511535-1</w:t>
      </w:r>
    </w:p>
    <w:p>
      <w:pPr>
        <w:pStyle w:val="ListBullet"/>
      </w:pPr>
      <w:r>
        <w:t>España: Real Decreto 817/2023, entorno controlado de pruebas para sistemas de IA — https://www.boe.es/buscar/doc.php?id=BOE-A-2023-22767</w:t>
      </w:r>
    </w:p>
    <w:p>
      <w:pPr>
        <w:pStyle w:val="ListBullet"/>
      </w:pPr>
      <w:r>
        <w:t>Unión Europea: Reglamento (UE) 2024/1689, arts. 57 a 59 (espacios controlados de pruebas para la IA) — https://eur-lex.europa.eu/eli/reg/2024/1689/oj</w:t>
      </w:r>
    </w:p>
    <w:p>
      <w:pPr>
        <w:pStyle w:val="ListBullet"/>
      </w:pPr>
      <w:r>
        <w:t>Brasil: Proyecto de Ley 2338/2023 del Senado Federal (marco de IA, incluye sandbox) — https://www25.senado.leg.br/web/atividade/materias/-/materia/157233</w:t>
      </w:r>
    </w:p>
    <w:p>
      <w:pPr>
        <w:pStyle w:val="ListBullet"/>
      </w:pPr>
      <w:r>
        <w:t>Reglamento de la Ley 31814 (D.S. 115-2025-PCM) — https://busquedas.elperuano.pe/dispositivo/NL/2436426-1</w:t>
      </w:r>
    </w:p>
    <w:p>
      <w:pPr>
        <w:pStyle w:val="ListBullet"/>
      </w:pPr>
      <w:r>
        <w:t>El Peruano: Perú fija reglas para la IA en el sector público hasta 2030 — https://elperuano.pe/noticia/294752-peru-fija-reglas-para-la-inteligencia-artificial-en-el-sector-publico-hasta-2030</w:t>
      </w:r>
    </w:p>
    <w:p>
      <w:pPr>
        <w:pStyle w:val="ListBullet"/>
      </w:pPr>
      <w:r>
        <w:t>AESIA, Agencia Española de Supervisión de la IA — https://aesia.digital.gob.es</w:t>
      </w:r>
    </w:p>
    <w:p>
      <w:r>
        <w:t>Fuente: Agenda Legislativa Tech Perú 2026–2031 (https://unimauro.github.io/agenda-legislativa-tech/p/IA-03.html),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régimen del espacio controlado de pruebas regulatorias para sistemas de inteligencia artificial y la coordinación entre autoridades sectoriales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