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APERTURA DE DATOS PÚBLICOS POR DEFECTO, EL ESTÁNDAR NACIONAL DE DATOS APTOS PARA INTELIGENCIA ARTIFICIAL Y LA OBLIGACIÓN DE INTERFACES DE PROGRAMACIÓN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APERTURA DE DATOS PÚBLICOS POR DEFECTO, EL ESTÁNDAR NACIONAL DE DATOS APTOS PARA INTELIGENCIA ARTIFICIAL Y LA OBLIGACIÓN DE INTERFACES DE PROGRAMACIÓN PÚBLICAS</w:t>
      </w:r>
    </w:p>
    <w:p>
      <w:pPr>
        <w:jc w:val="both"/>
      </w:pPr>
      <w:r>
        <w:rPr>
          <w:b/>
        </w:rPr>
        <w:t>Artículo 1. Objeto</w:t>
        <w:br/>
      </w:r>
      <w:r>
        <w:t>La presente ley tiene por objeto establecer la apertura por defecto de los datos públicos, crear el Estándar Nacional de Datos Aptos para Inteligencia Artificial y disponer la publicación de conjuntos de datos de alto valor mediante interfaces de programación de aplicaciones de acceso público.</w:t>
      </w:r>
    </w:p>
    <w:p>
      <w:pPr>
        <w:jc w:val="both"/>
      </w:pPr>
      <w:r>
        <w:rPr>
          <w:b/>
        </w:rPr>
        <w:t>Artículo 2. Principio de apertura por defecto</w:t>
        <w:br/>
      </w:r>
      <w:r>
        <w:t>2.1. Los datos producidos, recolectados o custodiados por las entidades públicas son abiertos por defecto, salvo que se encuentren comprendidos en las excepciones del Texto Único Ordenado de la Ley 27806 o contengan datos personales no anonimizados conforme a la Ley 29733.</w:t>
        <w:br/>
        <w:t>2.2. La reserva total o parcial de un conjunto de datos se motiva por escrito y se registra en la Plataforma Nacional de Datos Abiertos, indicando la causal legal y su plazo.</w:t>
      </w:r>
    </w:p>
    <w:p>
      <w:pPr>
        <w:jc w:val="both"/>
      </w:pPr>
      <w:r>
        <w:rPr>
          <w:b/>
        </w:rPr>
        <w:t>Artículo 3. Estándar Nacional de Datos Aptos para Inteligencia Artificial</w:t>
        <w:br/>
      </w:r>
      <w:r>
        <w:t>3.1. La Presidencia del Consejo de Ministros, a través de la Secretaría de Gobierno y Transformación Digital, aprueba el Estándar Nacional de Datos Aptos para Inteligencia Artificial, que comprende como mínimo: formatos abiertos legibles por máquina; diccionario de datos y metadatos; licencia abierta; identificadores persistentes; trazabilidad de origen; frecuencia de actualización; métricas de calidad y completitud; y documentación de sesgos conocidos y limitaciones.</w:t>
        <w:br/>
        <w:t>3.2. El Estándar se actualiza al menos cada dos años, previa consulta pública.</w:t>
      </w:r>
    </w:p>
    <w:p>
      <w:pPr>
        <w:jc w:val="both"/>
      </w:pPr>
      <w:r>
        <w:rPr>
          <w:b/>
        </w:rPr>
        <w:t>Artículo 4. Conjuntos de datos de alto valor</w:t>
        <w:br/>
      </w:r>
      <w:r>
        <w:t>4.1. Son conjuntos de datos de alto valor, entre otros, los de carácter geoespacial, estadístico, meteorológico y ambiental, de movilidad, de compras públicas, presupuestales, registrales de personas jurídicas, educativos y de salud agregados y anonimizados.</w:t>
        <w:br/>
        <w:t>4.2. La Secretaría de Gobierno y Transformación Digital aprueba la lista de conjuntos de datos de alto valor y las entidades responsables, priorizando aquellos necesarios para las metas de la Estrategia Nacional de Inteligencia Artificial.</w:t>
      </w:r>
    </w:p>
    <w:p>
      <w:pPr>
        <w:jc w:val="both"/>
      </w:pPr>
      <w:r>
        <w:rPr>
          <w:b/>
        </w:rPr>
        <w:t>Artículo 5. Interfaces de programación públicas</w:t>
        <w:br/>
      </w:r>
      <w:r>
        <w:t>5.1. Los conjuntos de datos de alto valor se publican mediante interfaces de programación de aplicaciones (API) documentadas, gratuitas, sin registro obligatorio para consultas de volumen ordinario y con disponibilidad mínima establecida en el reglamento.</w:t>
        <w:br/>
        <w:t>5.2. Las entidades no pueden suscribir contratos de exclusividad que restrinjan la reutilización de datos públicos.</w:t>
      </w:r>
    </w:p>
    <w:p>
      <w:pPr>
        <w:jc w:val="both"/>
      </w:pPr>
      <w:r>
        <w:rPr>
          <w:b/>
        </w:rPr>
        <w:t>Artículo 6. Responsable de datos</w:t>
        <w:br/>
      </w:r>
      <w:r>
        <w:t>Cada entidad designa, entre su personal, un responsable de datos abiertos, encargado del inventario, publicación, calidad y actualización de los conjuntos de datos, quien coordina con el Oficial de Gobierno de Datos o figura equivalente prevista en la normativa de gobierno digital.</w:t>
      </w:r>
    </w:p>
    <w:p>
      <w:pPr>
        <w:jc w:val="both"/>
      </w:pPr>
      <w:r>
        <w:rPr>
          <w:b/>
        </w:rPr>
        <w:t>Artículo 7. Reutilización y atribución</w:t>
        <w:br/>
      </w:r>
      <w:r>
        <w:t>La reutilización de datos abiertos, incluso con fines comerciales o para el entrenamiento de sistemas de inteligencia artificial, es libre, sujeta únicamente a la atribución de la fuente y a la prohibición de reidentificar a personas a partir de datos anonimizados.</w:t>
      </w:r>
    </w:p>
    <w:p>
      <w:pPr>
        <w:jc w:val="both"/>
      </w:pPr>
      <w:r>
        <w:rPr>
          <w:b/>
        </w:rPr>
        <w:t>Artículo 8. Seguimiento</w:t>
        <w:br/>
      </w:r>
      <w:r>
        <w:t>La Secretaría de Gobierno y Transformación Digital publica anualmente un índice de cumplimiento por entidad, que forma parte del informe previsto en el artículo 5 de la Ley 31814.</w:t>
      </w:r>
    </w:p>
    <w:p>
      <w:pPr>
        <w:jc w:val="both"/>
      </w:pPr>
      <w:r>
        <w:rPr>
          <w:b/>
        </w:rPr>
        <w:t>Primera. Disposición Complementaria Final</w:t>
        <w:br/>
      </w:r>
      <w:r>
        <w:t>Reglamentación. El Poder Ejecutivo reglamenta la presente ley en un plazo de ciento veinte días hábiles; el Estándar Nacional se aprueba dentro del mismo plazo.</w:t>
      </w:r>
    </w:p>
    <w:p>
      <w:pPr>
        <w:jc w:val="both"/>
      </w:pPr>
      <w:r>
        <w:rPr>
          <w:b/>
        </w:rPr>
        <w:t>Segunda. Disposición Complementaria Final</w:t>
        <w:br/>
      </w:r>
      <w:r>
        <w:t>Gradualidad. La obligación de publicar API se aplica en el primer año a los ministerios y organismos públicos del Poder Ejecutivo; en el segundo año, a los gobiernos regionales y organismos constitucionalmente autónomos; y en el tercer año, a las municipalidades provinciales.</w:t>
      </w:r>
    </w:p>
    <w:p>
      <w:pPr>
        <w:jc w:val="both"/>
      </w:pPr>
      <w:r>
        <w:rPr>
          <w:b/>
        </w:rPr>
        <w:t>Tercera. Disposición Complementaria Final</w:t>
        <w:br/>
      </w:r>
      <w:r>
        <w:t>Financiamiento. La implementación se financia con cargo al presupuesto institucional de las entidades involucradas, sin demandar recursos adicionales al Tesoro Público.</w:t>
      </w:r>
    </w:p>
    <w:p>
      <w:pPr>
        <w:jc w:val="both"/>
      </w:pPr>
      <w:r>
        <w:rPr>
          <w:b/>
        </w:rPr>
        <w:t>Cuarta. Disposición Complementaria Final</w:t>
        <w:br/>
      </w:r>
      <w:r>
        <w:t>Vigencia. La presente ley entra en vigencia al día siguiente de su publicación.</w:t>
      </w:r>
    </w:p>
    <w:p>
      <w:r>
        <w:t>Lima, ___ de __________ de 20__</w:t>
      </w:r>
    </w:p>
    <w:p>
      <w:r>
        <w:br w:type="page"/>
      </w:r>
    </w:p>
    <w:p>
      <w:pPr>
        <w:pStyle w:val="Heading1"/>
      </w:pPr>
      <w:r>
        <w:t>EXPOSICIÓN DE MOTIVOS</w:t>
      </w:r>
    </w:p>
    <w:p>
      <w:pPr>
        <w:pStyle w:val="Heading2"/>
      </w:pPr>
      <w:r>
        <w:t>I. Fundamentos y problema</w:t>
      </w:r>
    </w:p>
    <w:p>
      <w:pPr>
        <w:jc w:val="both"/>
      </w:pPr>
      <w:r>
        <w:t>El Decreto Legislativo 1412 y el Decreto de Urgencia 006-2020 establecen la gobernanza de datos y la Plataforma Nacional de Datos Abiertos, y la Ley 27806 regula la transparencia activa. No obstante, la publicación de datos abiertos sigue dependiendo de la voluntad de cada entidad, con formatos heterogéneos, sin metadatos uniformes ni API estables. Según el diagnóstico de la Estrategia Nacional de Gobierno de Datos 2026–2030 recogido en el Plan IA Perú 2050 (CIP/CNPP), la madurez del Estado en gobierno de datos es de 1,57 sobre 5 (nivel «inicial», en una muestra de ocho entidades de referencia). El mismo Plan fija como metas contar con 50 entidades clave con datos abiertos aptos para IA (API y estándar) y con un estándar nacional de datos para IA aprobado y vigente al 2030. Sin datos públicos de calidad, la investigación, las startups y el propio Estado no pueden entrenar ni evaluar modelos con información peruana, y se profundiza la dependencia de datos y modelos extranjeros. La Directiva europea 2019/1024 de datos abiertos y su lista de conjuntos de alto valor, así como la Lei 14.129/2021 de Gobierno Digital de Brasil, ya obligan a publicar datos por defecto vía API.</w:t>
      </w:r>
    </w:p>
    <w:p>
      <w:pPr>
        <w:pStyle w:val="Heading2"/>
      </w:pPr>
      <w:r>
        <w:t>II. Objeto</w:t>
      </w:r>
    </w:p>
    <w:p>
      <w:pPr>
        <w:jc w:val="both"/>
      </w:pPr>
      <w:r>
        <w:t>Establecer el principio de apertura de datos públicos por defecto, crear el Estándar Nacional de Datos Aptos para IA y obligar a publicar los conjuntos de datos de alto valor mediante API públicas.</w:t>
      </w:r>
    </w:p>
    <w:p>
      <w:pPr>
        <w:pStyle w:val="Heading2"/>
      </w:pPr>
      <w:r>
        <w:t>III. Análisis costo-beneficio</w:t>
      </w:r>
    </w:p>
    <w:p>
      <w:pPr>
        <w:jc w:val="both"/>
      </w:pPr>
      <w:r>
        <w:t>Genera costos moderados de adecuación (catalogación, limpieza, documentación y exposición de API), que pueden absorberse progresivamente con la gradualidad prevista y la infraestructura de la Plataforma Nacional de Datos Abiertos ya existente. El costo de no hacerlo es mayor: duplicación de pedidos de acceso a la información, consultorías que reconstruyen datos ya existentes e imposibilidad de entrenar modelos con información nacional. La evidencia internacional sobre datos abiertos muestra beneficios en transparencia, innovación y eficiencia del propio Estado, que es el principal reutilizador de sus datos. Se financia con presupuesto institucional, sin demandar recursos adicionales al Tesoro.</w:t>
      </w:r>
    </w:p>
    <w:p>
      <w:pPr>
        <w:pStyle w:val="Heading2"/>
      </w:pPr>
      <w:r>
        <w:t>IV. Efecto de la vigencia de la norma sobre la legislación nacional</w:t>
      </w:r>
    </w:p>
    <w:p>
      <w:pPr>
        <w:jc w:val="both"/>
      </w:pPr>
      <w:r>
        <w:t>Complementa el D.L. 1412, el D.U. 006-2020 y el TUO de la Ley 27806. No deroga normas.</w:t>
      </w:r>
    </w:p>
    <w:p>
      <w:pPr>
        <w:pStyle w:val="Heading2"/>
      </w:pPr>
      <w:r>
        <w:t>V. Antecedentes</w:t>
      </w:r>
    </w:p>
    <w:p>
      <w:pPr>
        <w:jc w:val="both"/>
      </w:pPr>
      <w:r>
        <w:t>Por verificar en SPLEY.</w:t>
      </w:r>
    </w:p>
    <w:p>
      <w:pPr>
        <w:pStyle w:val="Heading2"/>
      </w:pPr>
      <w:r>
        <w:t>VI. Indicador de éxito</w:t>
      </w:r>
    </w:p>
    <w:p>
      <w:pPr>
        <w:jc w:val="both"/>
      </w:pPr>
      <w:r>
        <w:t>Al 2030, 50 entidades clave publican sus conjuntos de datos de alto valor vía API conforme al Estándar Nacional (meta del Plan IA Perú 2050); al 2031, todo el Poder Ejecutivo.</w:t>
      </w:r>
    </w:p>
    <w:p>
      <w:pPr>
        <w:pStyle w:val="Heading2"/>
      </w:pPr>
      <w:r>
        <w:t>VII. Vinculación con la Agenda Legislativa y el Plan Perú 2050</w:t>
      </w:r>
    </w:p>
    <w:p>
      <w:r>
        <w:t>Comisiones temáticas del Plan Perú 2050: Inteligencia Artificial, Transformación Digital, Perú en La Era Digital. ODS: 9, 16, 17.</w:t>
      </w:r>
    </w:p>
    <w:p>
      <w:pPr>
        <w:pStyle w:val="Heading2"/>
      </w:pPr>
      <w:r>
        <w:t>VIII. Referencias</w:t>
      </w:r>
    </w:p>
    <w:p>
      <w:pPr>
        <w:pStyle w:val="ListBullet"/>
      </w:pPr>
      <w:r>
        <w:t>Decreto Legislativo 1412, Ley de Gobierno Digital — https://www.gob.pe/institucion/pcm/normas-legales/289706-1412</w:t>
      </w:r>
    </w:p>
    <w:p>
      <w:pPr>
        <w:pStyle w:val="ListBullet"/>
      </w:pPr>
      <w:r>
        <w:t>Decreto de Urgencia 006-2020, crea el Sistema Nacional de Transformación Digital — https://www.gob.pe/institucion/pcm/normas-legales/395320-006-2020</w:t>
      </w:r>
    </w:p>
    <w:p>
      <w:pPr>
        <w:pStyle w:val="ListBullet"/>
      </w:pPr>
      <w:r>
        <w:t>Ley 27806, Ley de Transparencia y Acceso a la Información Pública — https://www.leyes.congreso.gob.pe/Documentos/Leyes/27806.pdf</w:t>
      </w:r>
    </w:p>
    <w:p>
      <w:pPr>
        <w:pStyle w:val="ListBullet"/>
      </w:pPr>
      <w:r>
        <w:t>Ley 29733, Ley de Protección de Datos Personales — https://www.leyes.congreso.gob.pe/Documentos/Leyes/29733.pdf</w:t>
      </w:r>
    </w:p>
    <w:p>
      <w:pPr>
        <w:pStyle w:val="ListBullet"/>
      </w:pPr>
      <w:r>
        <w:t>Unión Europea: Directiva (UE) 2019/1024 relativa a los datos abiertos y la reutilización de la información del sector público — https://eur-lex.europa.eu/eli/dir/2019/1024/oj</w:t>
      </w:r>
    </w:p>
    <w:p>
      <w:pPr>
        <w:pStyle w:val="ListBullet"/>
      </w:pPr>
      <w:r>
        <w:t>Brasil: Lei 14.129/2021 (Lei do Governo Digital) — https://www.planalto.gov.br/ccivil_03/_ato2019-2022/2021/lei/l14129.htm</w:t>
      </w:r>
    </w:p>
    <w:p>
      <w:pPr>
        <w:pStyle w:val="ListBullet"/>
      </w:pPr>
      <w:r>
        <w:t>Unión Europea: Reglamento (UE) 2022/868 de Gobernanza de Datos — https://eur-lex.europa.eu/eli/reg/2022/868/oj</w:t>
      </w:r>
    </w:p>
    <w:p>
      <w:pPr>
        <w:pStyle w:val="ListBullet"/>
      </w:pPr>
      <w:r>
        <w:t>Plataforma Nacional de Datos Abiertos — https://www.datosabiertos.gob.pe</w:t>
      </w:r>
    </w:p>
    <w:p>
      <w:pPr>
        <w:pStyle w:val="ListBullet"/>
      </w:pPr>
      <w:r>
        <w:t>Plan Perú 2050 (CNPP/CIP), dashboard de comisiones temáticas — https://planperu2050.pe</w:t>
      </w:r>
    </w:p>
    <w:p>
      <w:pPr>
        <w:pStyle w:val="ListBullet"/>
      </w:pPr>
      <w:r>
        <w:t>Global Data Barometer — https://globaldatabarometer.org</w:t>
      </w:r>
    </w:p>
    <w:p>
      <w:r>
        <w:t>Fuente: Agenda Legislativa Tech Perú 2026–2031 (https://unimauro.github.io/agenda-legislativa-tech/p/IA-04.html),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apertura de datos públicos por defecto, el estándar nacional de datos aptos para inteligencia artificial y la obligación de interfaces de programación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