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t>PROYECTO DE LEY N.° ____/2026-CR</w:t>
      </w:r>
    </w:p>
    <w:p>
      <w:pPr>
        <w:pStyle w:val="Heading1"/>
      </w:pPr>
      <w:r>
        <w:t>LEY QUE REGULA LA ANONIMIZACIÓN, LOS DATOS SINTÉTICOS Y LOS ENTORNOS SEGUROS DE ACCESO A DATOS PÚBLICOS PARA INVESTIGACIÓN E INTELIGENCIA ARTIFICIAL</w:t>
      </w:r>
    </w:p>
    <w:p>
      <w:r>
        <w:t>El/la congresista que suscribe, ______________________, en ejercicio del derecho de iniciativa legislativa que le confiere el artículo 107 de la Constitución Política del Perú, presenta la siguiente propuesta legislativa:</w:t>
      </w:r>
    </w:p>
    <w:p>
      <w:pPr>
        <w:jc w:val="center"/>
      </w:pPr>
      <w:r>
        <w:rPr>
          <w:b/>
        </w:rPr>
        <w:t>FÓRMULA LEGAL</w:t>
        <w:br/>
      </w:r>
      <w:r>
        <w:t>EL CONGRESO DE LA REPÚBLICA</w:t>
        <w:br/>
        <w:t>Ha dado la Ley siguiente:</w:t>
        <w:br/>
      </w:r>
      <w:r>
        <w:rPr>
          <w:b/>
        </w:rPr>
        <w:t>LEY QUE REGULA LA ANONIMIZACIÓN, LOS DATOS SINTÉTICOS Y LOS ENTORNOS SEGUROS DE ACCESO A DATOS PÚBLICOS PARA INVESTIGACIÓN E INTELIGENCIA ARTIFICIAL</w:t>
      </w:r>
    </w:p>
    <w:p>
      <w:pPr>
        <w:jc w:val="both"/>
      </w:pPr>
      <w:r>
        <w:rPr>
          <w:b/>
        </w:rPr>
        <w:t>Artículo 1. Objeto</w:t>
        <w:br/>
      </w:r>
      <w:r>
        <w:t>La presente ley tiene por objeto habilitar la reutilización segura de datos públicos para la investigación y el desarrollo de inteligencia artificial, mediante reglas de anonimización, datos sintéticos y entornos seguros de acceso, garantizando la protección de datos personales.</w:t>
      </w:r>
    </w:p>
    <w:p>
      <w:pPr>
        <w:jc w:val="both"/>
      </w:pPr>
      <w:r>
        <w:rPr>
          <w:b/>
        </w:rPr>
        <w:t>Artículo 2. Definiciones</w:t>
        <w:br/>
      </w:r>
      <w:r>
        <w:t>Para efectos de la presente ley: a) Anonimización: procedimiento irreversible que impide, con medios razonablemente previsibles, identificar directa o indirectamente al titular; b) Seudonimización: sustitución de identificadores que permite la reidentificación con información adicional custodiada por separado; c) Datos sintéticos: datos generados artificialmente a partir de modelos estadísticos o de IA que reproducen propiedades de un conjunto original sin corresponder a personas reales; d) Entorno seguro de acceso: infraestructura controlada donde investigadores acreditados analizan datos seudonimizados sin poder extraerlos.</w:t>
      </w:r>
    </w:p>
    <w:p>
      <w:pPr>
        <w:jc w:val="both"/>
      </w:pPr>
      <w:r>
        <w:rPr>
          <w:b/>
        </w:rPr>
        <w:t>Artículo 3. Estándar de anonimización y de datos sintéticos</w:t>
        <w:br/>
      </w:r>
      <w:r>
        <w:t>3.1. La Autoridad Nacional de Protección de Datos Personales, en coordinación con el Instituto Nacional de Estadística e Informática (INEI) y la Secretaría de Gobierno y Transformación Digital, aprueba el estándar técnico de anonimización y de generación y evaluación de datos sintéticos, que incluye pruebas de riesgo de reidentificación y métricas de utilidad.</w:t>
        <w:br/>
        <w:t>3.2. Los datos anonimizados y los datos sintéticos que cumplan el estándar no constituyen datos personales para efectos de la Ley 29733.</w:t>
      </w:r>
    </w:p>
    <w:p>
      <w:pPr>
        <w:jc w:val="both"/>
      </w:pPr>
      <w:r>
        <w:rPr>
          <w:b/>
        </w:rPr>
        <w:t>Artículo 4. Entornos seguros de acceso</w:t>
        <w:br/>
      </w:r>
      <w:r>
        <w:t>4.1. El INEI y las entidades que custodien registros administrativos de alto valor pueden implementar entornos seguros de acceso para investigadores acreditados.</w:t>
        <w:br/>
        <w:t>4.2. El acceso se otorga por proyecto, con finalidad de interés público o científico, compromiso de confidencialidad, registro de consultas y control de los resultados antes de su publicación.</w:t>
        <w:br/>
        <w:t>4.3. La relación de proyectos autorizados se publica.</w:t>
      </w:r>
    </w:p>
    <w:p>
      <w:pPr>
        <w:jc w:val="both"/>
      </w:pPr>
      <w:r>
        <w:rPr>
          <w:b/>
        </w:rPr>
        <w:t>Artículo 5. Acreditación de investigadores</w:t>
        <w:br/>
      </w:r>
      <w:r>
        <w:t>Pueden acreditarse investigadores de universidades, institutos de investigación y entidades públicas, y de empresas en proyectos colaborativos con estos, conforme a los requisitos del reglamento, que incluyen capacitación en protección de datos y la suscripción de un acuerdo de uso.</w:t>
      </w:r>
    </w:p>
    <w:p>
      <w:pPr>
        <w:jc w:val="both"/>
      </w:pPr>
      <w:r>
        <w:rPr>
          <w:b/>
        </w:rPr>
        <w:t>Artículo 6. Incorporación del artículo 14-A a la Ley 29733</w:t>
        <w:br/>
      </w:r>
      <w:r>
        <w:t>Incorpórase el artículo 14-A a la Ley 29733, Ley de Protección de Datos Personales, con el texto siguiente:</w:t>
        <w:br/>
        <w:t>«Artículo 14-A. Tratamiento para investigación y desarrollo de inteligencia artificial</w:t>
        <w:br/>
        <w:t>No se requiere el consentimiento del titular para el tratamiento de datos personales seudonimizados con fines de investigación científica o estadística de interés público, incluido el desarrollo y evaluación de sistemas de inteligencia artificial, siempre que se realice dentro de un entorno seguro de acceso autorizado conforme a ley, con medidas que impidan la reidentificación y sin adoptar decisiones sobre personas concretas.»</w:t>
      </w:r>
    </w:p>
    <w:p>
      <w:pPr>
        <w:jc w:val="both"/>
      </w:pPr>
      <w:r>
        <w:rPr>
          <w:b/>
        </w:rPr>
        <w:t>Artículo 7. Prohibición de reidentificación</w:t>
        <w:br/>
      </w:r>
      <w:r>
        <w:t>7.1. Se prohíbe reidentificar o intentar reidentificar a personas a partir de datos anonimizados, seudonimizados o sintéticos, salvo en pruebas de robustez autorizadas por la entidad responsable.</w:t>
        <w:br/>
        <w:t>7.2. La reidentificación constituye infracción muy grave en el régimen sancionador de la Ley 29733, sin perjuicio de la responsabilidad penal que corresponda.</w:t>
      </w:r>
    </w:p>
    <w:p>
      <w:pPr>
        <w:jc w:val="both"/>
      </w:pPr>
      <w:r>
        <w:rPr>
          <w:b/>
        </w:rPr>
        <w:t>Artículo 8. Uso de datos sintéticos en el Estado</w:t>
        <w:br/>
      </w:r>
      <w:r>
        <w:t>Las entidades públicas priorizan el uso de datos sintéticos que cumplan el estándar para pruebas de software, capacitación y entrenamiento inicial de sistemas de IA, cuando ello sea técnicamente viable.</w:t>
      </w:r>
    </w:p>
    <w:p>
      <w:pPr>
        <w:jc w:val="both"/>
      </w:pPr>
      <w:r>
        <w:rPr>
          <w:b/>
        </w:rPr>
        <w:t>Primera. Disposición Complementaria Final</w:t>
        <w:br/>
      </w:r>
      <w:r>
        <w:t>Reglamentación. El Poder Ejecutivo, mediante decreto supremo refrendado por el Ministerio de Justicia y Derechos Humanos y la Presidencia del Consejo de Ministros, reglamenta la presente ley en un plazo de ciento veinte días hábiles.</w:t>
      </w:r>
    </w:p>
    <w:p>
      <w:pPr>
        <w:jc w:val="both"/>
      </w:pPr>
      <w:r>
        <w:rPr>
          <w:b/>
        </w:rPr>
        <w:t>Segunda. Disposición Complementaria Final</w:t>
        <w:br/>
      </w:r>
      <w:r>
        <w:t>Financiamiento. La implementación se financia con cargo al presupuesto institucional de las entidades involucradas, sin demandar recursos adicionales al Tesoro Público.</w:t>
      </w:r>
    </w:p>
    <w:p>
      <w:pPr>
        <w:jc w:val="both"/>
      </w:pPr>
      <w:r>
        <w:rPr>
          <w:b/>
        </w:rPr>
        <w:t>Tercera. Disposición Complementaria Final</w:t>
        <w:br/>
      </w:r>
      <w:r>
        <w:t>Vigencia. La presente ley entra en vigencia al día siguiente de la publicación de su reglamento.</w:t>
      </w:r>
    </w:p>
    <w:p>
      <w:r>
        <w:t>Lima, ___ de __________ de 20__</w:t>
      </w:r>
    </w:p>
    <w:p>
      <w:r>
        <w:br w:type="page"/>
      </w:r>
    </w:p>
    <w:p>
      <w:pPr>
        <w:pStyle w:val="Heading1"/>
      </w:pPr>
      <w:r>
        <w:t>EXPOSICIÓN DE MOTIVOS</w:t>
      </w:r>
    </w:p>
    <w:p>
      <w:pPr>
        <w:pStyle w:val="Heading2"/>
      </w:pPr>
      <w:r>
        <w:t>I. Fundamentos y problema</w:t>
      </w:r>
    </w:p>
    <w:p>
      <w:pPr>
        <w:jc w:val="both"/>
      </w:pPr>
      <w:r>
        <w:t>La investigación y el desarrollo de IA requieren datos detallados (microdatos de salud, educación, programas sociales, registros administrativos), pero su apertura choca legítimamente con la protección de datos personales. La Ley 29733 define los datos disociados, pero no fija un estándar técnico de anonimización con rango de ley ni regula los datos sintéticos. Según reportes oficiales y de la prensa jurídica sobre el nuevo Reglamento de la Ley 29733 (D.S. 016-2024-JUS), la Autoridad Nacional de Protección de Datos Personales puede emitir normas complementarias sobre disociación y anonimización, pero esto deja a investigadores y entidades sin reglas estables y vinculantes para todo el Estado. Como consecuencia, muchas entidades optan por no compartir datos ante el riesgo de sanción, o los comparten sin garantías suficientes. Además, la reidentificación de personas a partir de datos supuestamente anónimos, técnicamente posible con IA, no está tipificada como infracción específica. El Plan IA Perú 2050 (CIP/CNPP) plantea los datos como activo nacional, y la Estrategia Nacional de Gobierno de Datos 2026–2030 incluye la calidad y privacidad entre sus ejes. Experiencias como las guías de la ICO británica, el NIST (SP 800-188) y el Reglamento europeo de gobernanza de datos ofrecen modelos verificables.</w:t>
      </w:r>
    </w:p>
    <w:p>
      <w:pPr>
        <w:pStyle w:val="Heading2"/>
      </w:pPr>
      <w:r>
        <w:t>II. Objeto</w:t>
      </w:r>
    </w:p>
    <w:p>
      <w:pPr>
        <w:jc w:val="both"/>
      </w:pPr>
      <w:r>
        <w:t>Establecer el régimen de anonimización, de generación de datos sintéticos y de entornos seguros de acceso a datos públicos para investigación e IA, y sancionar la reidentificación.</w:t>
      </w:r>
    </w:p>
    <w:p>
      <w:pPr>
        <w:pStyle w:val="Heading2"/>
      </w:pPr>
      <w:r>
        <w:t>III. Análisis costo-beneficio</w:t>
      </w:r>
    </w:p>
    <w:p>
      <w:pPr>
        <w:jc w:val="both"/>
      </w:pPr>
      <w:r>
        <w:t>El costo es bajo a moderado: el INEI ya administra microdatos y puede ampliar sus servicios de acceso; los entornos seguros pueden implementarse gradualmente sobre infraestructura existente. El beneficio es destrabar el uso de datos públicos para investigación en políticas sociales, salud y educación, y para entrenar y evaluar modelos con información nacional, sin sacrificar la privacidad. La tipificación de la reidentificación disuade abusos que la IA hace más fáciles. No genera gasto adicional al Tesoro. La gradualidad permite empezar por los registros con mayor demanda de investigadores y ampliar según la experiencia.</w:t>
      </w:r>
    </w:p>
    <w:p>
      <w:pPr>
        <w:pStyle w:val="Heading2"/>
      </w:pPr>
      <w:r>
        <w:t>IV. Efecto de la vigencia de la norma sobre la legislación nacional</w:t>
      </w:r>
    </w:p>
    <w:p>
      <w:pPr>
        <w:jc w:val="both"/>
      </w:pPr>
      <w:r>
        <w:t>Modifica la Ley 29733 (incorpora el art. 14-A y una infracción muy grave); complementa su Reglamento (D.S. 016-2024-JUS) y la normativa del Sistema Estadístico Nacional.</w:t>
      </w:r>
    </w:p>
    <w:p>
      <w:pPr>
        <w:pStyle w:val="Heading2"/>
      </w:pPr>
      <w:r>
        <w:t>V. Antecedentes</w:t>
      </w:r>
    </w:p>
    <w:p>
      <w:pPr>
        <w:jc w:val="both"/>
      </w:pPr>
      <w:r>
        <w:t>Por verificar en SPLEY.</w:t>
      </w:r>
    </w:p>
    <w:p>
      <w:pPr>
        <w:pStyle w:val="Heading2"/>
      </w:pPr>
      <w:r>
        <w:t>VI. Indicador de éxito</w:t>
      </w:r>
    </w:p>
    <w:p>
      <w:pPr>
        <w:jc w:val="both"/>
      </w:pPr>
      <w:r>
        <w:t>Al 2031, estándar de anonimización y datos sintéticos aprobado y al menos cinco entornos seguros de acceso operativos (INEI y cuatro registros administrativos de alto valor) con proyectos autorizados publicados.</w:t>
      </w:r>
    </w:p>
    <w:p>
      <w:pPr>
        <w:pStyle w:val="Heading2"/>
      </w:pPr>
      <w:r>
        <w:t>VII. Vinculación con la Agenda Legislativa y el Plan Perú 2050</w:t>
      </w:r>
    </w:p>
    <w:p>
      <w:r>
        <w:t>Comisiones temáticas del Plan Perú 2050: Inteligencia Artificial, Ciencia y Tecnología, Perú en La Era Digital. ODS: 9, 16.</w:t>
      </w:r>
    </w:p>
    <w:p>
      <w:pPr>
        <w:pStyle w:val="Heading2"/>
      </w:pPr>
      <w:r>
        <w:t>VIII. Referencias</w:t>
      </w:r>
    </w:p>
    <w:p>
      <w:pPr>
        <w:pStyle w:val="ListBullet"/>
      </w:pPr>
      <w:r>
        <w:t>Ley 29733, Ley de Protección de Datos Personales — https://www.leyes.congreso.gob.pe/Documentos/Leyes/29733.pdf</w:t>
      </w:r>
    </w:p>
    <w:p>
      <w:pPr>
        <w:pStyle w:val="ListBullet"/>
      </w:pPr>
      <w:r>
        <w:t>Decreto Supremo 016-2024-JUS, nuevo Reglamento de la Ley 29733 (nota oficial de El Peruano) — https://elperuano.pe/noticia/258993-proteccion-de-datos-personales-ejecutivo-aprueba-nuevo-reglamento-de-la-ley-n-29733</w:t>
      </w:r>
    </w:p>
    <w:p>
      <w:pPr>
        <w:pStyle w:val="ListBullet"/>
      </w:pPr>
      <w:r>
        <w:t>Decreto Legislativo 1412, Ley de Gobierno Digital — https://www.gob.pe/institucion/pcm/normas-legales/289706-1412</w:t>
      </w:r>
    </w:p>
    <w:p>
      <w:pPr>
        <w:pStyle w:val="ListBullet"/>
      </w:pPr>
      <w:r>
        <w:t>Unión Europea: Reglamento (UE) 2022/868 de Gobernanza de Datos (reutilización de datos protegidos del sector público en entornos seguros) — https://eur-lex.europa.eu/eli/reg/2022/868/oj</w:t>
      </w:r>
    </w:p>
    <w:p>
      <w:pPr>
        <w:pStyle w:val="ListBullet"/>
      </w:pPr>
      <w:r>
        <w:t>Estados Unidos: NIST SP 800-188, De-Identifying Government Datasets — https://csrc.nist.gov/pubs/sp/800/188/final</w:t>
      </w:r>
    </w:p>
    <w:p>
      <w:pPr>
        <w:pStyle w:val="ListBullet"/>
      </w:pPr>
      <w:r>
        <w:t>Reino Unido: ICO, guía sobre anonimización — https://ico.org.uk/for-organisations/uk-gdpr-guidance-and-resources/data-sharing/anonymisation/</w:t>
      </w:r>
    </w:p>
    <w:p>
      <w:pPr>
        <w:pStyle w:val="ListBullet"/>
      </w:pPr>
      <w:r>
        <w:t>El Peruano: Ejecutivo aprueba nuevo reglamento de la Ley 29733 — https://elperuano.pe/noticia/258993-proteccion-de-datos-personales-ejecutivo-aprueba-nuevo-reglamento-de-la-ley-n-29733</w:t>
      </w:r>
    </w:p>
    <w:p>
      <w:pPr>
        <w:pStyle w:val="ListBullet"/>
      </w:pPr>
      <w:r>
        <w:t>NIST SP 800-188 — https://csrc.nist.gov/pubs/sp/800/188/final</w:t>
      </w:r>
    </w:p>
    <w:p>
      <w:pPr>
        <w:pStyle w:val="ListBullet"/>
      </w:pPr>
      <w:r>
        <w:t>Plan Perú 2050 (CNPP/CIP), dashboard de comisiones temáticas — https://planperu2050.pe</w:t>
      </w:r>
    </w:p>
    <w:p>
      <w:r>
        <w:t>Fuente: Agenda Legislativa Tech Perú 2026–2031 (https://unimauro.github.io/agenda-legislativa-tech/p/IA-10.html), propuesta ciudadana CC BY 4.0.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Ley que regula la anonimización, los datos sintéticos y los entornos seguros de acceso a datos públicos para investigación e inteligencia artificial</dc:title>
  <dc:subject/>
  <dc:creator>Agenda Legislativa Tech Perú</dc:creator>
  <cp:keywords/>
  <dc:description>generated by python-docx</dc:description>
  <cp:lastModifiedBy/>
  <cp:revision>1</cp:revision>
  <dcterms:created xsi:type="dcterms:W3CDTF">2013-12-23T23:15:00Z</dcterms:created>
  <dcterms:modified xsi:type="dcterms:W3CDTF">2013-12-23T23:15:00Z</dcterms:modified>
  <cp:category/>
</cp:coreProperties>
</file>