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RECONOCE EL DERECHO A LA PORTABILIDAD DE LOS DATOS PERSONALES Y ESTABLECE OBLIGACIONES DE INTEROPERABILIDAD PARA LOS SERVICIOS DIGITALES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RECONOCE EL DERECHO A LA PORTABILIDAD DE LOS DATOS PERSONALES Y ESTABLECE OBLIGACIONES DE INTEROPERABILIDAD PARA LOS SERVICIOS DIGITALES</w:t>
      </w:r>
    </w:p>
    <w:p>
      <w:pPr>
        <w:jc w:val="both"/>
      </w:pPr>
      <w:r>
        <w:rPr>
          <w:b/>
        </w:rPr>
        <w:t>Artículo 1. Objeto</w:t>
        <w:br/>
      </w:r>
      <w:r>
        <w:t>La presente ley tiene por objeto reconocer el derecho a la portabilidad de los datos personales y establecer obligaciones de interoperabilidad que permitan su ejercicio efectivo.</w:t>
      </w:r>
    </w:p>
    <w:p>
      <w:pPr>
        <w:jc w:val="both"/>
      </w:pPr>
      <w:r>
        <w:rPr>
          <w:b/>
        </w:rPr>
        <w:t>Artículo 2. Incorporación del artículo 21-A a la Ley 29733</w:t>
        <w:br/>
      </w:r>
      <w:r>
        <w:t>Incorpórase el artículo 21-A a la Ley 29733, Ley de Protección de Datos Personales, con el texto siguiente:</w:t>
        <w:br/>
        <w:t>«Artículo 21-A. Derecho a la portabilidad</w:t>
        <w:br/>
        <w:t>21-A.1. El titular de datos personales tiene derecho a recibir del responsable del tratamiento, en un formato estructurado, de uso común y legible por máquina, los datos personales que le conciernan y que haya facilitado o que se hayan generado por su actividad, cuando el tratamiento se base en su consentimiento o en un contrato y se efectúe por medios automatizados.</w:t>
        <w:br/>
        <w:t>21-A.2. El titular tiene derecho a que sus datos se transmitan directamente de un responsable a otro, cuando sea técnicamente posible.</w:t>
        <w:br/>
        <w:t>21-A.3. El ejercicio de este derecho es gratuito y no afecta los derechos de terceros ni el derecho de cancelación.»</w:t>
      </w:r>
    </w:p>
    <w:p>
      <w:pPr>
        <w:jc w:val="both"/>
      </w:pPr>
      <w:r>
        <w:rPr>
          <w:b/>
        </w:rPr>
        <w:t>Artículo 3. Plazo de atención</w:t>
        <w:br/>
      </w:r>
      <w:r>
        <w:t>El responsable atiende la solicitud de portabilidad en un plazo no mayor de veinte días hábiles, prorrogable por igual plazo cuando la complejidad lo justifique, informando al titular de la prórroga y sus motivos.</w:t>
      </w:r>
    </w:p>
    <w:p>
      <w:pPr>
        <w:jc w:val="both"/>
      </w:pPr>
      <w:r>
        <w:rPr>
          <w:b/>
        </w:rPr>
        <w:t>Artículo 4. Interfaces de programación</w:t>
        <w:br/>
      </w:r>
      <w:r>
        <w:t>4.1. Los responsables de tratamiento que presten servicios digitales a más del número de usuarios en el país que fije el reglamento ponen a disposición interfaces de programación seguras para la transmisión directa de datos a solicitud del titular.</w:t>
        <w:br/>
        <w:t>4.2. La Autoridad Nacional de Protección de Datos Personales, en coordinación con la Secretaría de Gobierno y Transformación Digital, aprueba los estándares mínimos de formatos y seguridad.</w:t>
      </w:r>
    </w:p>
    <w:p>
      <w:pPr>
        <w:jc w:val="both"/>
      </w:pPr>
      <w:r>
        <w:rPr>
          <w:b/>
        </w:rPr>
        <w:t>Artículo 5. Excepciones</w:t>
        <w:br/>
      </w:r>
      <w:r>
        <w:t>No procede la portabilidad respecto de: a) datos inferidos o derivados por el responsable mediante análisis propios, salvo que el reglamento disponga lo contrario para categorías específicas; b) datos cuyo tratamiento sea necesario para el cumplimiento de una función pública; y c) datos cuya entrega afecte secretos comerciales o derechos de terceros, debiendo entregarse en todo caso la información no afectada.</w:t>
      </w:r>
    </w:p>
    <w:p>
      <w:pPr>
        <w:jc w:val="both"/>
      </w:pPr>
      <w:r>
        <w:rPr>
          <w:b/>
        </w:rPr>
        <w:t>Artículo 6. Seguridad y verificación</w:t>
        <w:br/>
      </w:r>
      <w:r>
        <w:t>El responsable verifica la identidad del solicitante mediante mecanismos proporcionales, incluida la identidad digital del Estado, y adopta medidas de seguridad para evitar transmisiones fraudulentas. El responsable receptor trata los datos conforme a la Ley 29733.</w:t>
      </w:r>
    </w:p>
    <w:p>
      <w:pPr>
        <w:jc w:val="both"/>
      </w:pPr>
      <w:r>
        <w:rPr>
          <w:b/>
        </w:rPr>
        <w:t>Artículo 7. Infracciones</w:t>
        <w:br/>
      </w:r>
      <w:r>
        <w:t>La negativa injustificada a atender el derecho de portabilidad o la imposición de obstáculos técnicos deliberados constituye infracción grave conforme al régimen sancionador de la Ley 29733.</w:t>
      </w:r>
    </w:p>
    <w:p>
      <w:pPr>
        <w:jc w:val="both"/>
      </w:pPr>
      <w:r>
        <w:rPr>
          <w:b/>
        </w:rPr>
        <w:t>Primera. Disposición Complementaria Final</w:t>
        <w:br/>
      </w:r>
      <w:r>
        <w:t>Reglamentación. El Poder Ejecutivo adecúa el Reglamento de la Ley 29733 en un plazo de noventa días hábiles.</w:t>
      </w:r>
    </w:p>
    <w:p>
      <w:pPr>
        <w:jc w:val="both"/>
      </w:pPr>
      <w:r>
        <w:rPr>
          <w:b/>
        </w:rPr>
        <w:t>Segunda. Disposición Complementaria Final</w:t>
        <w:br/>
      </w:r>
      <w:r>
        <w:t>Exclusión. La presente ley no regula el intercambio de información en el sistema financiero, que se rige por su normativa especial.</w:t>
      </w:r>
    </w:p>
    <w:p>
      <w:pPr>
        <w:jc w:val="both"/>
      </w:pPr>
      <w:r>
        <w:rPr>
          <w:b/>
        </w:rPr>
        <w:t>Tercera. Disposición Complementaria Final</w:t>
        <w:br/>
      </w:r>
      <w:r>
        <w:t>Financiamiento. La aplicación de la presente ley no demanda recursos adicionales al Tesoro Público.</w:t>
      </w:r>
    </w:p>
    <w:p>
      <w:pPr>
        <w:jc w:val="both"/>
      </w:pPr>
      <w:r>
        <w:rPr>
          <w:b/>
        </w:rPr>
        <w:t>Cuarta. Disposición Complementaria Final</w:t>
        <w:br/>
      </w:r>
      <w:r>
        <w:t>Vigencia. La presente ley entra en vigencia a los doce meses de su publicación; la obligación del artículo 4 rige a los veinticuatro meses.</w:t>
      </w:r>
    </w:p>
    <w:p>
      <w:r>
        <w:t>Lima, ___ de __________ de 20__</w:t>
      </w:r>
    </w:p>
    <w:p>
      <w:r>
        <w:br w:type="page"/>
      </w:r>
    </w:p>
    <w:p>
      <w:pPr>
        <w:pStyle w:val="Heading1"/>
      </w:pPr>
      <w:r>
        <w:t>EXPOSICIÓN DE MOTIVOS</w:t>
      </w:r>
    </w:p>
    <w:p>
      <w:pPr>
        <w:pStyle w:val="Heading2"/>
      </w:pPr>
      <w:r>
        <w:t>I. Fundamentos y problema</w:t>
      </w:r>
    </w:p>
    <w:p>
      <w:pPr>
        <w:jc w:val="both"/>
      </w:pPr>
      <w:r>
        <w:t>La Ley 29733 reconoce los derechos de información, acceso, rectificación, cancelación, oposición y tratamiento objetivo, pero no consagra a nivel legal el derecho a la portabilidad. Según la prensa jurídica, el nuevo Reglamento (D.S. 016-2024-JUS) habilita a la autoridad a emitir normas complementarias sobre portabilidad, pero un derecho sustantivo con efectos sobre la libertad de empresa requiere rango de ley para ser plenamente exigible. La ausencia de portabilidad tiene efectos en dos planos. En el plano de derechos, el titular no controla efectivamente sus datos ni puede reutilizarlos. En el plano económico, los datos acumulados por plataformas dominantes generan efectos de retención: cambiar de proveedor implica perder historial, reputación o configuraciones, lo que reduce la competencia y dificulta la entrada de nuevas empresas, incluidas startups de IA que necesitan datos con consentimiento del usuario. La portabilidad es un derecho reconocido en el RGPD europeo (art. 20), en la LGPD brasileña (art. 18) y en la Ley 21.719 chilena. Esta propuesta excluye la portabilidad financiera (finanzas abiertas), que corresponde a otro eje de esta agenda.</w:t>
      </w:r>
    </w:p>
    <w:p>
      <w:pPr>
        <w:pStyle w:val="Heading2"/>
      </w:pPr>
      <w:r>
        <w:t>II. Objeto</w:t>
      </w:r>
    </w:p>
    <w:p>
      <w:pPr>
        <w:jc w:val="both"/>
      </w:pPr>
      <w:r>
        <w:t>Reconocer el derecho a la portabilidad de datos personales y establecer obligaciones de interoperabilidad para los responsables de tratamiento de servicios digitales.</w:t>
      </w:r>
    </w:p>
    <w:p>
      <w:pPr>
        <w:pStyle w:val="Heading2"/>
      </w:pPr>
      <w:r>
        <w:t>III. Análisis costo-beneficio</w:t>
      </w:r>
    </w:p>
    <w:p>
      <w:pPr>
        <w:jc w:val="both"/>
      </w:pPr>
      <w:r>
        <w:t>No genera gasto público relevante: la supervisión se integra a las funciones de la autoridad de protección de datos. Los costos de cumplimiento recaen en los responsables, proporcionales a su tamaño gracias al umbral de usuarios para la obligación de API; las mypes solo deben entregar datos en formato estructurado. El beneficio es doble: refuerza el control de las personas sobre sus datos y reduce barreras de cambio de proveedor, favoreciendo la competencia y la entrada de nuevos servicios, incluidos los basados en IA. Los plazos de vigencia diferida permiten la adecuación.</w:t>
      </w:r>
    </w:p>
    <w:p>
      <w:pPr>
        <w:pStyle w:val="Heading2"/>
      </w:pPr>
      <w:r>
        <w:t>IV. Efecto de la vigencia de la norma sobre la legislación nacional</w:t>
      </w:r>
    </w:p>
    <w:p>
      <w:pPr>
        <w:jc w:val="both"/>
      </w:pPr>
      <w:r>
        <w:t>Modifica la Ley 29733 (incorpora el art. 21-A y una infracción grave). Complementa el D.S. 016-2024-JUS. La numeración debe verificarse con el texto vigente.</w:t>
      </w:r>
    </w:p>
    <w:p>
      <w:pPr>
        <w:pStyle w:val="Heading2"/>
      </w:pPr>
      <w:r>
        <w:t>V. Antecedentes</w:t>
      </w:r>
    </w:p>
    <w:p>
      <w:pPr>
        <w:jc w:val="both"/>
      </w:pPr>
      <w:r>
        <w:t>Por verificar en SPLEY.</w:t>
      </w:r>
    </w:p>
    <w:p>
      <w:pPr>
        <w:pStyle w:val="Heading2"/>
      </w:pPr>
      <w:r>
        <w:t>VI. Indicador de éxito</w:t>
      </w:r>
    </w:p>
    <w:p>
      <w:pPr>
        <w:jc w:val="both"/>
      </w:pPr>
      <w:r>
        <w:t>Al 2031, estándar técnico de portabilidad aprobado, los servicios digitales que superen el umbral con API de portabilidad operativas y estadísticas anuales de solicitudes atendidas publicadas por la ANPD.</w:t>
      </w:r>
    </w:p>
    <w:p>
      <w:pPr>
        <w:pStyle w:val="Heading2"/>
      </w:pPr>
      <w:r>
        <w:t>VII. Vinculación con la Agenda Legislativa y el Plan Perú 2050</w:t>
      </w:r>
    </w:p>
    <w:p>
      <w:r>
        <w:t>Comisiones temáticas del Plan Perú 2050: Perú en La Era Digital, Competitividad, Inteligencia Artificial. ODS: 9, 16.</w:t>
      </w:r>
    </w:p>
    <w:p>
      <w:pPr>
        <w:pStyle w:val="Heading2"/>
      </w:pPr>
      <w:r>
        <w:t>VIII. Referencias</w:t>
      </w:r>
    </w:p>
    <w:p>
      <w:pPr>
        <w:pStyle w:val="ListBullet"/>
      </w:pPr>
      <w:r>
        <w:t>Ley 29733, Ley de Protección de Datos Personales — https://www.leyes.congreso.gob.pe/Documentos/Leyes/29733.pdf</w:t>
      </w:r>
    </w:p>
    <w:p>
      <w:pPr>
        <w:pStyle w:val="ListBullet"/>
      </w:pPr>
      <w:r>
        <w:t>Decreto Supremo 016-2024-JUS, nuevo Reglamento de la Ley 29733 (nota oficial) — https://elperuano.pe/noticia/258993-proteccion-de-datos-personales-ejecutivo-aprueba-nuevo-reglamento-de-la-ley-n-29733</w:t>
      </w:r>
    </w:p>
    <w:p>
      <w:pPr>
        <w:pStyle w:val="ListBullet"/>
      </w:pPr>
      <w:r>
        <w:t>Decreto de Urgencia 007-2020, Marco de Confianza Digital — https://www.gob.pe/institucion/pcm/normas-legales/395322-007-2020</w:t>
      </w:r>
    </w:p>
    <w:p>
      <w:pPr>
        <w:pStyle w:val="ListBullet"/>
      </w:pPr>
      <w:r>
        <w:t>Unión Europea: Reglamento (UE) 2016/679 (RGPD), art. 20 — https://eur-lex.europa.eu/eli/reg/2016/679/oj</w:t>
      </w:r>
    </w:p>
    <w:p>
      <w:pPr>
        <w:pStyle w:val="ListBullet"/>
      </w:pPr>
      <w:r>
        <w:t>Unión Europea: Reglamento (UE) 2023/2854 de Datos (Data Act), acceso y portabilidad de datos de productos conectados — https://eur-lex.europa.eu/eli/reg/2023/2854/oj</w:t>
      </w:r>
    </w:p>
    <w:p>
      <w:pPr>
        <w:pStyle w:val="ListBullet"/>
      </w:pPr>
      <w:r>
        <w:t>Brasil: Lei 13.709/2018 (LGPD), art. 18, V — https://www.planalto.gov.br/ccivil_03/_ato2015-2018/2018/lei/l13709.htm</w:t>
      </w:r>
    </w:p>
    <w:p>
      <w:pPr>
        <w:pStyle w:val="ListBullet"/>
      </w:pPr>
      <w:r>
        <w:t>Chile: Ley 21.719 (derecho a la portabilidad) — https://www.bcn.cl/balance-legislativo/detalle/ficha_LEY_21719_2024-12-13</w:t>
      </w:r>
    </w:p>
    <w:p>
      <w:pPr>
        <w:pStyle w:val="ListBullet"/>
      </w:pPr>
      <w:r>
        <w:t>El Peruano: nuevo reglamento de la Ley 29733 — https://elperuano.pe/noticia/258993-proteccion-de-datos-personales-ejecutivo-aprueba-nuevo-reglamento-de-la-ley-n-29733</w:t>
      </w:r>
    </w:p>
    <w:p>
      <w:pPr>
        <w:pStyle w:val="ListBullet"/>
      </w:pPr>
      <w:r>
        <w:t>Autoridad Nacional de Protección de Datos Personales — https://www.gob.pe/anpd</w:t>
      </w:r>
    </w:p>
    <w:p>
      <w:r>
        <w:t>Fuente: Agenda Legislativa Tech Perú 2026–2031 (https://unimauro.github.io/agenda-legislativa-tech/p/IA-12.html),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reconoce el derecho a la portabilidad de los datos personales y establece obligaciones de interoperabilidad para los servicios digitales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