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ESTÁNDARES ABIERTOS E INTEROPERABLES PARA EL PASAJE ELECTRÓNICO Y LA INFORMACIÓN AL USUARIO DEL SISTEMA INTEGRADO DE TRANSPORTE DE LIMA Y CALLAO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ESTÁNDARES ABIERTOS E INTEROPERABLES PARA EL PASAJE ELECTRÓNICO Y LA INFORMACIÓN AL USUARIO DEL SISTEMA INTEGRADO DE TRANSPORTE DE LIMA Y CALLAO</w:t>
      </w:r>
    </w:p>
    <w:p>
      <w:pPr>
        <w:jc w:val="both"/>
      </w:pPr>
      <w:r>
        <w:rPr>
          <w:b/>
        </w:rPr>
        <w:t>Artículo 1. Objeto</w:t>
        <w:br/>
      </w:r>
      <w:r>
        <w:t>La presente ley tiene por objeto modificar la Ley 30900, Ley que crea la Autoridad de Transporte Urbano para Lima y Callao (ATU), a fin de establecer estándares abiertos e interoperables para el Sistema de Recaudo Único, proteger los datos de viaje de los usuarios y garantizar la publicación de datos abiertos de transporte.</w:t>
      </w:r>
    </w:p>
    <w:p>
      <w:pPr>
        <w:jc w:val="both"/>
      </w:pPr>
      <w:r>
        <w:rPr>
          <w:b/>
        </w:rPr>
        <w:t>Artículo 2. Incorporación del artículo 6-A a la Ley 30900</w:t>
        <w:br/>
      </w:r>
      <w:r>
        <w:t>Incorpórase el artículo 6-A a la Ley 30900, con el siguiente texto: "Artículo 6-A. Interoperabilidad del Sistema de Recaudo Único. 6-A.1 Las especificaciones técnicas del Sistema de Recaudo Único que apruebe la ATU se basan en estándares abiertos y no propietarios, que permitan la participación de múltiples proveedores de equipos y servicios. 6-A.2 El Sistema de Recaudo Único acepta, de manera progresiva, tarjetas de pago sin contacto emitidas por entidades del sistema financiero, pagos mediante códigos o dispositivos móviles y la tarjeta del propio sistema, sin exclusividad a favor de un medio de pago o proveedor determinado. 6-A.3 Un mismo medio de pago es válido en todos los servicios que integran el Sistema Integrado de Transporte, incluidos los servicios de transporte masivo y los corredores complementarios."</w:t>
      </w:r>
    </w:p>
    <w:p>
      <w:pPr>
        <w:jc w:val="both"/>
      </w:pPr>
      <w:r>
        <w:rPr>
          <w:b/>
        </w:rPr>
        <w:t>Artículo 3. Tarifas integradas y beneficios</w:t>
        <w:br/>
      </w:r>
      <w:r>
        <w:t>La ATU garantiza que los descuentos, pasajes diferenciados y beneficios establecidos por ley se apliquen de manera automática a través de cualquier medio de pago registrado por el usuario, conforme al reglamento.</w:t>
      </w:r>
    </w:p>
    <w:p>
      <w:pPr>
        <w:jc w:val="both"/>
      </w:pPr>
      <w:r>
        <w:rPr>
          <w:b/>
        </w:rPr>
        <w:t>Artículo 4. Protección de datos de viaje</w:t>
        <w:br/>
      </w:r>
      <w:r>
        <w:t>4.1 Los datos de viaje asociados a medios de pago identificables constituyen datos personales y se tratan conforme a la Ley 29733. 4.2 La ATU y los operadores del recaudo solo pueden usarlos para fines de operación, planificación y fiscalización del sistema; para planificación se usan datos anonimizados o agregados. 4.3 Se garantiza la existencia de un medio de pago que no requiera identificación del usuario.</w:t>
      </w:r>
    </w:p>
    <w:p>
      <w:pPr>
        <w:jc w:val="both"/>
      </w:pPr>
      <w:r>
        <w:rPr>
          <w:b/>
        </w:rPr>
        <w:t>Artículo 5. Datos abiertos de transporte</w:t>
        <w:br/>
      </w:r>
      <w:r>
        <w:t>La ATU publica y mantiene actualizados, en formato abierto y conforme a especificaciones internacionales como GTFS y GTFS Realtime, los datos de rutas, paraderos, horarios, frecuencias y, progresivamente, la posición en tiempo real de la flota de los servicios bajo su competencia.</w:t>
      </w:r>
    </w:p>
    <w:p>
      <w:pPr>
        <w:jc w:val="both"/>
      </w:pPr>
      <w:r>
        <w:rPr>
          <w:b/>
        </w:rPr>
        <w:t>Artículo 6. Información al usuario</w:t>
        <w:br/>
      </w:r>
      <w:r>
        <w:t>La ATU pone a disposición información accesible sobre tarifas, saldos, recargas y reclamos por canales digitales y presenciales, incluyendo formatos accesibles para personas con discapacidad.</w:t>
      </w:r>
    </w:p>
    <w:p>
      <w:pPr>
        <w:jc w:val="both"/>
      </w:pPr>
      <w:r>
        <w:rPr>
          <w:b/>
        </w:rPr>
        <w:t>Artículo 7. Transición contractual</w:t>
        <w:br/>
      </w:r>
      <w:r>
        <w:t>Los contratos de concesión o de prestación de servicios de recaudo vigentes se adecúan a lo dispuesto en la presente ley en la oportunidad de su renovación, adenda o nueva contratación, respetando los derechos adquiridos conforme al marco contractual.</w:t>
      </w:r>
    </w:p>
    <w:p>
      <w:pPr>
        <w:jc w:val="both"/>
      </w:pPr>
      <w:r>
        <w:rPr>
          <w:b/>
        </w:rPr>
        <w:t>Artículo 8. Financiamiento</w:t>
        <w:br/>
      </w:r>
      <w:r>
        <w:t>La implementación de la presente ley se financia con cargo al presupuesto institucional de la ATU y a los mecanismos contractuales del Sistema de Recaudo Único, sin demandar recursos adicionales al Tesoro Público.</w:t>
      </w:r>
    </w:p>
    <w:p>
      <w:pPr>
        <w:jc w:val="both"/>
      </w:pPr>
      <w:r>
        <w:rPr>
          <w:b/>
        </w:rPr>
        <w:t>Primera. Disposición Complementaria Final</w:t>
        <w:br/>
      </w:r>
      <w:r>
        <w:t>Adecuación reglamentaria. El Poder Ejecutivo adecúa el Reglamento de la Ley 30900 a lo dispuesto en la presente ley en un plazo de noventa días hábiles, mediante decreto supremo refrendado por el Ministro de Transportes y Comunicaciones.</w:t>
      </w:r>
    </w:p>
    <w:p>
      <w:pPr>
        <w:jc w:val="both"/>
      </w:pPr>
      <w:r>
        <w:rPr>
          <w:b/>
        </w:rPr>
        <w:t>Segunda. Disposición Complementaria Final</w:t>
        <w:br/>
      </w:r>
      <w:r>
        <w:t>Plazo de datos abiertos. La ATU publica los datos estáticos de rutas y paraderos a que se refiere el artículo 5 en un plazo de ciento ochenta días hábiles desde la entrada en vigor de la presente ley.</w:t>
      </w:r>
    </w:p>
    <w:p>
      <w:pPr>
        <w:jc w:val="both"/>
      </w:pPr>
      <w:r>
        <w:rPr>
          <w:b/>
        </w:rPr>
        <w:t>Tercera. Disposición Complementaria Final</w:t>
        <w:br/>
      </w:r>
      <w:r>
        <w:t>Aplicación a otras ciudades. Las municipalidades provinciales que implementen sistemas de recaudo electrónico pueden adoptar los estándares de la presente ley, con asistencia técnica del Ministerio de Transportes y Comunicaciones.</w:t>
      </w:r>
    </w:p>
    <w:p>
      <w:r>
        <w:t>Lima, ___ de __________ de 20__</w:t>
      </w:r>
    </w:p>
    <w:p>
      <w:r>
        <w:br w:type="page"/>
      </w:r>
    </w:p>
    <w:p>
      <w:pPr>
        <w:pStyle w:val="Heading1"/>
      </w:pPr>
      <w:r>
        <w:t>EXPOSICIÓN DE MOTIVOS</w:t>
      </w:r>
    </w:p>
    <w:p>
      <w:pPr>
        <w:pStyle w:val="Heading2"/>
      </w:pPr>
      <w:r>
        <w:t>I. Fundamentos y problema</w:t>
      </w:r>
    </w:p>
    <w:p>
      <w:pPr>
        <w:jc w:val="both"/>
      </w:pPr>
      <w:r>
        <w:t>La Ley 30900 creó la Autoridad de Transporte Urbano para Lima y Callao (ATU) y le encargó organizar el Sistema Integrado de Transporte con integración física, operacional, tarifaria y de medios de pago, y administrar el Sistema de Recaudo Único, definido como la unidad de gestión de la venta, recarga, distribución y validación de los medios de acceso. La Ley 31596 (2022) amplió la potestad sancionadora de la ATU a operadores y usuarios del Sistema de Recaudo Único y la facultó para homologar sus equipos. Sin embargo, la ley no establece que el recaudo deba basarse en estándares abiertos ni que sea interoperable con medios de pago bancarios y digitales, lo que expone al sistema a la dependencia de un solo proveedor tecnológico y obliga a los usuarios a portar distintas tarjetas según el servicio. Tampoco obliga a publicar datos abiertos de rutas, paraderos, horarios y posición de flota, insumo para aplicaciones de información al usuario, ni regula expresamente la protección de los datos de viaje, que permiten reconstruir los desplazamientos de las personas.</w:t>
      </w:r>
    </w:p>
    <w:p>
      <w:pPr>
        <w:pStyle w:val="Heading2"/>
      </w:pPr>
      <w:r>
        <w:t>II. Objeto</w:t>
      </w:r>
    </w:p>
    <w:p>
      <w:pPr>
        <w:jc w:val="both"/>
      </w:pPr>
      <w:r>
        <w:t>Establecer estándares abiertos e interoperables para el recaudo electrónico, la protección de datos de viaje y la publicación de datos abiertos de transporte en Lima y Callao.</w:t>
      </w:r>
    </w:p>
    <w:p>
      <w:pPr>
        <w:pStyle w:val="Heading2"/>
      </w:pPr>
      <w:r>
        <w:t>III. Análisis costo-beneficio</w:t>
      </w:r>
    </w:p>
    <w:p>
      <w:pPr>
        <w:jc w:val="both"/>
      </w:pPr>
      <w:r>
        <w:t>La ley no genera gasto directo (art. 79): define reglas técnicas que la ATU aplica en sus procesos de contratación y renovación, con presupuesto institucional y mecanismos contractuales. Los estándares abiertos reducen el riesgo de dependencia de un proveedor y pueden abaratar futuras adquisiciones por mayor competencia. Para los usuarios, un único medio de pago y la aceptación de tarjetas bancarias reducen costos de transacción y tiempo. La publicación de datos GTFS, de costo muy bajo, habilita aplicaciones de planificación de viajes desarrolladas por terceros. La protección de datos de viaje previene usos indebidos. El costo principal es la adecuación de validadores, a implementarse en los ciclos contractuales.</w:t>
      </w:r>
    </w:p>
    <w:p>
      <w:pPr>
        <w:pStyle w:val="Heading2"/>
      </w:pPr>
      <w:r>
        <w:t>IV. Efecto de la vigencia de la norma sobre la legislación nacional</w:t>
      </w:r>
    </w:p>
    <w:p>
      <w:pPr>
        <w:jc w:val="both"/>
      </w:pPr>
      <w:r>
        <w:t>Modifica la Ley 30900 (incorpora el artículo 6-A), modificada por la Ley 31596; se articula con la Ley 29733.</w:t>
      </w:r>
    </w:p>
    <w:p>
      <w:pPr>
        <w:pStyle w:val="Heading2"/>
      </w:pPr>
      <w:r>
        <w:t>V. Antecedentes</w:t>
      </w:r>
    </w:p>
    <w:p>
      <w:pPr>
        <w:jc w:val="both"/>
      </w:pPr>
      <w:r>
        <w:t>Por verificar en SPLEY.</w:t>
      </w:r>
    </w:p>
    <w:p>
      <w:pPr>
        <w:pStyle w:val="Heading2"/>
      </w:pPr>
      <w:r>
        <w:t>VI. Indicador de éxito</w:t>
      </w:r>
    </w:p>
    <w:p>
      <w:pPr>
        <w:jc w:val="both"/>
      </w:pPr>
      <w:r>
        <w:t>A 2031, un mismo medio de pago es aceptado en todos los servicios masivos y corredores de Lima y Callao, y la ATU publica datos GTFS estáticos y en tiempo real.</w:t>
      </w:r>
    </w:p>
    <w:p>
      <w:pPr>
        <w:pStyle w:val="Heading2"/>
      </w:pPr>
      <w:r>
        <w:t>VII. Vinculación con la Agenda Legislativa y el Plan Perú 2050</w:t>
      </w:r>
    </w:p>
    <w:p>
      <w:r>
        <w:t>Comisiones temáticas del Plan Perú 2050: Transportes, Ciudades Inteligentes, Desarrollo Urbano. ODS: 11, 9.</w:t>
      </w:r>
    </w:p>
    <w:p>
      <w:pPr>
        <w:pStyle w:val="Heading2"/>
      </w:pPr>
      <w:r>
        <w:t>VIII. Referencias</w:t>
      </w:r>
    </w:p>
    <w:p>
      <w:pPr>
        <w:pStyle w:val="ListBullet"/>
      </w:pPr>
      <w:r>
        <w:t>Ley 30900, Ley que crea la Autoridad de Transporte Urbano para Lima y Callao (ATU) — https://leyes.congreso.gob.pe/Documentos/2016_2021/ADLP/Texto_Consolidado/30900-TXM.pdf</w:t>
      </w:r>
    </w:p>
    <w:p>
      <w:pPr>
        <w:pStyle w:val="ListBullet"/>
      </w:pPr>
      <w:r>
        <w:t>Ley 31596, Ley que establece medidas para garantizar la cobertura adecuada, continuidad y calidad del servicio de transporte público en Lima y Callao (modifica la Ley 30900) — https://leyes.congreso.gob.pe/Documentos/2021_2026/ADLP/Texto_Consolidado/31596-TXM.pdf</w:t>
      </w:r>
    </w:p>
    <w:p>
      <w:pPr>
        <w:pStyle w:val="ListBullet"/>
      </w:pPr>
      <w:r>
        <w:t>Ley 29733, Ley de Protección de Datos Personales — https://www.leyes.congreso.gob.pe/Documentos/Leyes/29733.pdf</w:t>
      </w:r>
    </w:p>
    <w:p>
      <w:pPr>
        <w:pStyle w:val="ListBullet"/>
      </w:pPr>
      <w:r>
        <w:t>Unión Europea: Reglamento Delegado (UE) 2017/1926 sobre servicios de información de viajes multimodales — https://eur-lex.europa.eu/eli/reg_del/2017/1926/oj</w:t>
      </w:r>
    </w:p>
    <w:p>
      <w:pPr>
        <w:pStyle w:val="ListBullet"/>
      </w:pPr>
      <w:r>
        <w:t>ATU: portal institucional — https://www.atu.gob.pe/</w:t>
      </w:r>
    </w:p>
    <w:p>
      <w:pPr>
        <w:pStyle w:val="ListBullet"/>
      </w:pPr>
      <w:r>
        <w:t>General Transit Feed Specification (GTFS) — https://gtfs.org/</w:t>
      </w:r>
    </w:p>
    <w:p>
      <w:r>
        <w:t>Fuente: Agenda Legislativa Tech Perú 2026–2031 (https://unimauro.github.io/agenda-legislativa-tech/p/TAL-11.html),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estándares abiertos e interoperables para el pasaje electrónico y la información al usuario del Sistema Integrado de Transporte de Lima y Callao</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