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GARANTIZA LA ACCESIBILIDAD DIGITAL DE LAS PERSONAS CON DISCAPACIDAD EN LOS SERVICIOS PÚBLICOS Y EN LOS SERVICIOS DIGITALES DE INTERÉS GENERAL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GARANTIZA LA ACCESIBILIDAD DIGITAL DE LAS PERSONAS CON DISCAPACIDAD EN LOS SERVICIOS PÚBLICOS Y EN LOS SERVICIOS DIGITALES DE INTERÉS GENERAL</w:t>
      </w:r>
    </w:p>
    <w:p>
      <w:pPr>
        <w:jc w:val="both"/>
      </w:pPr>
      <w:r>
        <w:rPr>
          <w:b/>
        </w:rPr>
        <w:t>Artículo 1. Objeto</w:t>
        <w:br/>
      </w:r>
      <w:r>
        <w:t>La presente ley tiene por objeto garantizar que los servicios digitales del Estado y los servicios digitales de interés general prestados por particulares sean accesibles para las personas con discapacidad, en condiciones de igualdad.</w:t>
      </w:r>
    </w:p>
    <w:p>
      <w:pPr>
        <w:jc w:val="both"/>
      </w:pPr>
      <w:r>
        <w:rPr>
          <w:b/>
        </w:rPr>
        <w:t>Artículo 2. Ámbito</w:t>
        <w:br/>
      </w:r>
      <w:r>
        <w:t>2.1 Están obligadas las entidades de la administración pública a que se refiere el artículo I del Título Preliminar del Texto Único Ordenado de la Ley 27444, Ley del Procedimiento Administrativo General. 2.2 Están obligadas, asimismo, las empresas que presten servicios financieros, de salud, de transporte de pasajeros, de telecomunicaciones, de suministro de agua y electricidad, y de comercio electrónico, cuando superen los umbrales de tamaño que determine el reglamento.</w:t>
      </w:r>
    </w:p>
    <w:p>
      <w:pPr>
        <w:jc w:val="both"/>
      </w:pPr>
      <w:r>
        <w:rPr>
          <w:b/>
        </w:rPr>
        <w:t>Artículo 3. Estándar de accesibilidad</w:t>
        <w:br/>
      </w:r>
      <w:r>
        <w:t>Los sitios web, aplicaciones móviles, documentos digitales y quioscos de autoatención comprendidos en el ámbito de la presente ley cumplen, como mínimo, el nivel AA de las Pautas de Accesibilidad para el Contenido Web (WCAG) en su versión vigente, o la norma técnica peruana equivalente que apruebe el Instituto Nacional de Calidad (INACAL).</w:t>
      </w:r>
    </w:p>
    <w:p>
      <w:pPr>
        <w:jc w:val="both"/>
      </w:pPr>
      <w:r>
        <w:rPr>
          <w:b/>
        </w:rPr>
        <w:t>Artículo 4. Contenidos audiovisuales</w:t>
        <w:br/>
      </w:r>
      <w:r>
        <w:t>Los contenidos audiovisuales difundidos por las entidades públicas en sus canales digitales incorporan subtítulos y, en los mensajes de interés general, interpretación en lengua de señas peruana.</w:t>
      </w:r>
    </w:p>
    <w:p>
      <w:pPr>
        <w:jc w:val="both"/>
      </w:pPr>
      <w:r>
        <w:rPr>
          <w:b/>
        </w:rPr>
        <w:t>Artículo 5. Declaración de accesibilidad</w:t>
        <w:br/>
      </w:r>
      <w:r>
        <w:t>Los sujetos obligados publican en sus sitios web y aplicaciones una declaración de accesibilidad que indique el grado de cumplimiento, los contenidos no accesibles y un canal para que los usuarios reporten barreras y soliciten la información en un formato alternativo.</w:t>
      </w:r>
    </w:p>
    <w:p>
      <w:pPr>
        <w:jc w:val="both"/>
      </w:pPr>
      <w:r>
        <w:rPr>
          <w:b/>
        </w:rPr>
        <w:t>Artículo 6. Compras públicas</w:t>
        <w:br/>
      </w:r>
      <w:r>
        <w:t>Las entidades públicas incluyen requisitos de accesibilidad digital en los términos de referencia y especificaciones técnicas para la contratación de desarrollo, adquisición o renovación de sitios web, aplicaciones y sistemas de atención al ciudadano.</w:t>
      </w:r>
    </w:p>
    <w:p>
      <w:pPr>
        <w:jc w:val="both"/>
      </w:pPr>
      <w:r>
        <w:rPr>
          <w:b/>
        </w:rPr>
        <w:t>Artículo 7. Monitoreo</w:t>
        <w:br/>
      </w:r>
      <w:r>
        <w:t>El Consejo Nacional para la Integración de la Persona con Discapacidad (CONADIS), con el apoyo técnico de la Presidencia del Consejo de Ministros en materia de transformación digital, realiza evaluaciones periódicas por muestreo del cumplimiento de la presente ley y publica sus resultados.</w:t>
      </w:r>
    </w:p>
    <w:p>
      <w:pPr>
        <w:jc w:val="both"/>
      </w:pPr>
      <w:r>
        <w:rPr>
          <w:b/>
        </w:rPr>
        <w:t>Artículo 8. Fiscalización y sanciones</w:t>
        <w:br/>
      </w:r>
      <w:r>
        <w:t>El incumplimiento por parte de las entidades públicas genera responsabilidad administrativa de los funcionarios competentes. El incumplimiento por parte de empresas privadas se sujeta a la potestad sancionadora de CONADIS conforme a la Ley 29973 y, cuando corresponda, de INDECOPI conforme al Código de Protección y Defensa del Consumidor.</w:t>
      </w:r>
    </w:p>
    <w:p>
      <w:pPr>
        <w:jc w:val="both"/>
      </w:pPr>
      <w:r>
        <w:rPr>
          <w:b/>
        </w:rPr>
        <w:t>Artículo 9. Financiamiento</w:t>
        <w:br/>
      </w:r>
      <w:r>
        <w:t>La implementación de la presente ley se financia con cargo a los presupuestos institucionales de las entidades públicas involucradas, sin demandar recursos adicionales al Tesoro Público.</w:t>
      </w:r>
    </w:p>
    <w:p>
      <w:pPr>
        <w:jc w:val="both"/>
      </w:pPr>
      <w:r>
        <w:rPr>
          <w:b/>
        </w:rPr>
        <w:t>Primera. Disposición Complementaria Final</w:t>
        <w:br/>
      </w:r>
      <w:r>
        <w:t>Reglamentación. El Poder Ejecutivo reglamenta la presente ley en un plazo de noventa días hábiles mediante decreto supremo refrendado por el Presidente del Consejo de Ministros y la Ministra o Ministro de la Mujer y Poblaciones Vulnerables.</w:t>
      </w:r>
    </w:p>
    <w:p>
      <w:pPr>
        <w:jc w:val="both"/>
      </w:pPr>
      <w:r>
        <w:rPr>
          <w:b/>
        </w:rPr>
        <w:t>Segunda. Disposición Complementaria Final</w:t>
        <w:br/>
      </w:r>
      <w:r>
        <w:t>Plazos de adecuación. Los nuevos sitios y aplicaciones cumplen la presente ley desde la entrada en vigor del reglamento. Los existentes se adecúan en un plazo de dieciocho meses para las entidades del Poder Ejecutivo y empresas del ámbito privado, y de treinta y seis meses para los gobiernos regionales y locales.</w:t>
      </w:r>
    </w:p>
    <w:p>
      <w:pPr>
        <w:jc w:val="both"/>
      </w:pPr>
      <w:r>
        <w:rPr>
          <w:b/>
        </w:rPr>
        <w:t>Tercera. Disposición Complementaria Final</w:t>
        <w:br/>
      </w:r>
      <w:r>
        <w:t>Norma técnica. El INACAL evalúa la adopción de la norma técnica peruana de accesibilidad digital equivalente a la versión vigente de WCAG en un plazo de un año.</w:t>
      </w:r>
    </w:p>
    <w:p>
      <w:r>
        <w:t>Lima, ___ de __________ de 20__</w:t>
      </w:r>
    </w:p>
    <w:p>
      <w:r>
        <w:br w:type="page"/>
      </w:r>
    </w:p>
    <w:p>
      <w:pPr>
        <w:pStyle w:val="Heading1"/>
      </w:pPr>
      <w:r>
        <w:t>EXPOSICIÓN DE MOTIVOS</w:t>
      </w:r>
    </w:p>
    <w:p>
      <w:pPr>
        <w:pStyle w:val="Heading2"/>
      </w:pPr>
      <w:r>
        <w:t>I. Fundamentos y problema</w:t>
      </w:r>
    </w:p>
    <w:p>
      <w:pPr>
        <w:jc w:val="both"/>
      </w:pPr>
      <w:r>
        <w:t>Según el INEI, sobre la base de los Censos Nacionales 2017, en el país existen 3 millones 209 mil 261 personas con alguna dificultad o limitación permanente, de las cuales el 40,1% tiene 60 y más años. La Ley 29973, Ley General de la Persona con Discapacidad, reconoce el derecho a la accesibilidad, y la Ley 28530 promovió el acceso a Internet para personas con discapacidad y la adecuación de cabinas públicas; sin embargo, este marco es anterior a la masificación de aplicaciones móviles y servicios en línea y no fija un estándar técnico verificable ni plazos de cumplimiento para portales, aplicaciones y documentos digitales. A medida que trámites, citas médicas, banca y comercio migran a canales digitales, la falta de compatibilidad con lectores de pantalla, la ausencia de subtítulos o lengua de señas, los captchas no accesibles y los documentos escaneados como imagen excluyen a personas con discapacidad visual, auditiva, motriz o cognitiva. Las Pautas de Accesibilidad para el Contenido Web (WCAG 2.2) del W3C son el estándar internacional de referencia.</w:t>
      </w:r>
    </w:p>
    <w:p>
      <w:pPr>
        <w:pStyle w:val="Heading2"/>
      </w:pPr>
      <w:r>
        <w:t>II. Objeto</w:t>
      </w:r>
    </w:p>
    <w:p>
      <w:pPr>
        <w:jc w:val="both"/>
      </w:pPr>
      <w:r>
        <w:t>Garantizar la accesibilidad digital de las personas con discapacidad en servicios públicos y servicios digitales de interés general.</w:t>
      </w:r>
    </w:p>
    <w:p>
      <w:pPr>
        <w:pStyle w:val="Heading2"/>
      </w:pPr>
      <w:r>
        <w:t>III. Análisis costo-beneficio</w:t>
      </w:r>
    </w:p>
    <w:p>
      <w:pPr>
        <w:jc w:val="both"/>
      </w:pPr>
      <w:r>
        <w:t>El costo de cumplir estándares de accesibilidad es bajo cuando se incorpora desde el diseño y en las compras públicas, y mayor cuando se adapta lo existente, por lo que se establecen plazos diferenciados. Las entidades públicas lo asumen con presupuestos institucionales (art. 79), sin gasto directo nuevo. Los beneficios alcanzan a más de tres millones de personas con discapacidad registradas en el censo y a una población adulta mayor creciente, y mejoran la usabilidad para todos los usuarios. Para las empresas, la accesibilidad amplía su mercado y reduce reclamos. La exigencia de declaración pública genera rendición de cuentas a bajo costo.</w:t>
      </w:r>
    </w:p>
    <w:p>
      <w:pPr>
        <w:pStyle w:val="Heading2"/>
      </w:pPr>
      <w:r>
        <w:t>IV. Efecto de la vigencia de la norma sobre la legislación nacional</w:t>
      </w:r>
    </w:p>
    <w:p>
      <w:pPr>
        <w:jc w:val="both"/>
      </w:pPr>
      <w:r>
        <w:t>Complementa la Ley 29973, Ley General de la Persona con Discapacidad, y la Ley 28530. No deroga normas.</w:t>
      </w:r>
    </w:p>
    <w:p>
      <w:pPr>
        <w:pStyle w:val="Heading2"/>
      </w:pPr>
      <w:r>
        <w:t>V. Antecedentes</w:t>
      </w:r>
    </w:p>
    <w:p>
      <w:pPr>
        <w:jc w:val="both"/>
      </w:pPr>
      <w:r>
        <w:t>Por verificar en SPLEY.</w:t>
      </w:r>
    </w:p>
    <w:p>
      <w:pPr>
        <w:pStyle w:val="Heading2"/>
      </w:pPr>
      <w:r>
        <w:t>VI. Indicador de éxito</w:t>
      </w:r>
    </w:p>
    <w:p>
      <w:pPr>
        <w:jc w:val="both"/>
      </w:pPr>
      <w:r>
        <w:t>A 2031, el 100% de portales del Poder Ejecutivo y al menos el 80% de portales regionales evaluados por CONADIS cumplen el nivel AA de WCAG y publican su declaración de accesibilidad.</w:t>
      </w:r>
    </w:p>
    <w:p>
      <w:pPr>
        <w:pStyle w:val="Heading2"/>
      </w:pPr>
      <w:r>
        <w:t>VII. Vinculación con la Agenda Legislativa y el Plan Perú 2050</w:t>
      </w:r>
    </w:p>
    <w:p>
      <w:r>
        <w:t>Comisiones temáticas del Plan Perú 2050: Cohesión Social, Transformación Digital. ODS: 10, 16.</w:t>
      </w:r>
    </w:p>
    <w:p>
      <w:pPr>
        <w:pStyle w:val="Heading2"/>
      </w:pPr>
      <w:r>
        <w:t>VIII. Referencias</w:t>
      </w:r>
    </w:p>
    <w:p>
      <w:pPr>
        <w:pStyle w:val="ListBullet"/>
      </w:pPr>
      <w:r>
        <w:t>Ley 29973, Ley General de la Persona con Discapacidad — https://www.leyes.congreso.gob.pe/Documentos/Leyes/29973.pdf</w:t>
      </w:r>
    </w:p>
    <w:p>
      <w:pPr>
        <w:pStyle w:val="ListBullet"/>
      </w:pPr>
      <w:r>
        <w:t>Ley 28530, Ley de promoción de acceso a Internet para personas con discapacidad y de adecuación del espacio físico en cabinas públicas de Internet — https://www.leyes.congreso.gob.pe/Documentos/Leyes/28530.pdf</w:t>
      </w:r>
    </w:p>
    <w:p>
      <w:pPr>
        <w:pStyle w:val="ListBullet"/>
      </w:pPr>
      <w:r>
        <w:t>Ley 29571, Código de Protección y Defensa del Consumidor — https://www.leyes.congreso.gob.pe/Documentos/Leyes/29571.pdf</w:t>
      </w:r>
    </w:p>
    <w:p>
      <w:pPr>
        <w:pStyle w:val="ListBullet"/>
      </w:pPr>
      <w:r>
        <w:t>Unión Europea: Directiva (UE) 2016/2102 sobre la accesibilidad de los sitios web y aplicaciones móviles de los organismos del sector público — https://eur-lex.europa.eu/eli/dir/2016/2102/oj</w:t>
      </w:r>
    </w:p>
    <w:p>
      <w:pPr>
        <w:pStyle w:val="ListBullet"/>
      </w:pPr>
      <w:r>
        <w:t>Unión Europea: Directiva (UE) 2019/882 sobre los requisitos de accesibilidad de los productos y servicios (Acta Europea de Accesibilidad) — https://eur-lex.europa.eu/eli/dir/2019/882/oj</w:t>
      </w:r>
    </w:p>
    <w:p>
      <w:pPr>
        <w:pStyle w:val="ListBullet"/>
      </w:pPr>
      <w:r>
        <w:t>INEI: En el país existen 3 millones 209 mil 261 personas con discapacidad (Censos 2017) — https://m.inei.gob.pe/prensa/noticias/en-el-pais-existen-3-millones-209-mil-261-personas-con-discapacidad-11687/</w:t>
      </w:r>
    </w:p>
    <w:p>
      <w:pPr>
        <w:pStyle w:val="ListBullet"/>
      </w:pPr>
      <w:r>
        <w:t>W3C: Web Content Accessibility Guidelines (WCAG) 2.2 — https://www.w3.org/TR/WCAG22/</w:t>
      </w:r>
    </w:p>
    <w:p>
      <w:pPr>
        <w:pStyle w:val="ListBullet"/>
      </w:pPr>
      <w:r>
        <w:t>CONADIS: portal institucional — https://www.gob.pe/conadis</w:t>
      </w:r>
    </w:p>
    <w:p>
      <w:r>
        <w:t>Fuente: Agenda Legislativa Tech Perú 2026–2031 (https://unimauro.github.io/agenda-legislativa-tech/p/TAL-13.html),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garantiza la accesibilidad digital de las personas con discapacidad en los servicios públicos y en los servicios digitales de interés general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