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Comisión Temática Nacional · CNPP — Colegio de Ingenieros del Perú</w:t>
      </w:r>
    </w:p>
    <w:p>
      <w:r>
        <w:rPr>
          <w:rFonts w:ascii="Calibri" w:hAnsi="Calibri"/>
          <w:b/>
          <w:i w:val="0"/>
          <w:color w:val="D91023"/>
          <w:sz w:val="48"/>
        </w:rPr>
        <w:t>Desarrollo Humano e Industrialización</w:t>
      </w:r>
    </w:p>
    <w:p>
      <w:r>
        <w:rPr>
          <w:rFonts w:ascii="Calibri" w:hAnsi="Calibri"/>
          <w:b w:val="0"/>
          <w:i/>
          <w:color w:val="5D6B88"/>
          <w:sz w:val="21"/>
        </w:rPr>
        <w:t>Eje estratégico: Competitividad</w:t>
      </w:r>
    </w:p>
    <w:p>
      <w:r>
        <w:rPr>
          <w:rFonts w:ascii="Calibri" w:hAnsi="Calibri"/>
          <w:b w:val="0"/>
          <w:i w:val="0"/>
          <w:color w:val="1A2238"/>
          <w:sz w:val="23"/>
        </w:rPr>
        <w:t>Proyecto nacional de largo plazo para transformar al Perú de país primario exportador a nación industrializada de primer orden, con erradicación estructural de la pobreza extrema (10 millones de peruanos del segmento E). Se estructura en tres pilares: Desarrollo Humano Integral, Industrialización Nacional y Financiamiento Estratégico mediante la OPPC (Organización de Países Productores de Cobre).</w:t>
      </w:r>
    </w:p>
    <w:p>
      <w:r>
        <w:rPr>
          <w:rFonts w:ascii="Calibri" w:hAnsi="Calibri"/>
          <w:b/>
          <w:i w:val="0"/>
          <w:color w:val="D91023"/>
          <w:sz w:val="26"/>
        </w:rPr>
        <w:t>Síntesis cuantitativa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24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Indicadores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3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Pilares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3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Objetivos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1%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Avance estimado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Contenido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futura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actual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III.  </w:t>
      </w:r>
      <w:r>
        <w:rPr>
          <w:rFonts w:ascii="Calibri" w:hAnsi="Calibri"/>
          <w:b w:val="0"/>
          <w:i w:val="0"/>
          <w:color w:val="1A2238"/>
          <w:sz w:val="20"/>
        </w:rPr>
        <w:t>Objetivos estratégicos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IV.  </w:t>
      </w:r>
      <w:r>
        <w:rPr>
          <w:rFonts w:ascii="Calibri" w:hAnsi="Calibri"/>
          <w:b w:val="0"/>
          <w:i w:val="0"/>
          <w:color w:val="1A2238"/>
          <w:sz w:val="20"/>
        </w:rPr>
        <w:t>Acciones estratégicas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V.  </w:t>
      </w:r>
      <w:r>
        <w:rPr>
          <w:rFonts w:ascii="Calibri" w:hAnsi="Calibri"/>
          <w:b w:val="0"/>
          <w:i w:val="0"/>
          <w:color w:val="1A2238"/>
          <w:sz w:val="20"/>
        </w:rPr>
        <w:t>Matriz resumen (indicadores)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VI.  </w:t>
      </w:r>
      <w:r>
        <w:rPr>
          <w:rFonts w:ascii="Calibri" w:hAnsi="Calibri"/>
          <w:b w:val="0"/>
          <w:i w:val="0"/>
          <w:color w:val="1A2238"/>
          <w:sz w:val="20"/>
        </w:rPr>
        <w:t>Hitos de los primeros 100 días de Gobierno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VII.  </w:t>
      </w:r>
      <w:r>
        <w:rPr>
          <w:rFonts w:ascii="Calibri" w:hAnsi="Calibri"/>
          <w:b w:val="0"/>
          <w:i w:val="0"/>
          <w:color w:val="1A2238"/>
          <w:sz w:val="20"/>
        </w:rPr>
        <w:t>Articulación con el Acuerdo Nacional y el PEDN al 2050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VIII.  </w:t>
      </w:r>
      <w:r>
        <w:rPr>
          <w:rFonts w:ascii="Calibri" w:hAnsi="Calibri"/>
          <w:b w:val="0"/>
          <w:i w:val="0"/>
          <w:color w:val="1A2238"/>
          <w:sz w:val="20"/>
        </w:rPr>
        <w:t>Articulación con los Programas Presupuestales</w:t>
      </w:r>
    </w:p>
    <w:p>
      <w:r>
        <w:rPr>
          <w:rFonts w:ascii="Calibri" w:hAnsi="Calibri"/>
          <w:b/>
          <w:i w:val="0"/>
          <w:color w:val="D91023"/>
          <w:sz w:val="26"/>
        </w:rPr>
        <w:t>I · Síntesis de la situación futura</w:t>
      </w:r>
    </w:p>
    <w:p>
      <w:r>
        <w:rPr>
          <w:rFonts w:ascii="Calibri" w:hAnsi="Calibri"/>
          <w:b w:val="0"/>
          <w:i w:val="0"/>
          <w:color w:val="1A2238"/>
          <w:sz w:val="21"/>
        </w:rPr>
        <w:t>Al 2050 el Perú no solo exporta tierra y minerales, sino que es una potencia industrial activa en la masa económica mundial que garantiza el bienestar absoluto de su población, con un crecimiento económico sostenido entre 5.1% y 6% que incorpora a todos los peruanos al sistema económico formal. Desarrollo Humano (Pilar 1): población infantil libre de anemia y limitaciones cognitivas; 100% de ciudadanos con acceso a agua y desagüe; sistema educativo de nivel mundial con colegios de primer nivel, escuelas técnicas especializadas y profesores formados en países más adelantados (Suecia, Finlandia, China); los niños del segmento E comen, se educan y tienen las mismas oportunidades de salud que los del segmento A/B. Industrialización Nacional (Pilar 2): consolidación de nuevas ciudades industriales (Pisco y Chimbote); el país fabrica sus propios barcos, trenes, tanques de combate y vehículos comerciales, sustituyendo importaciones y compitiendo globalmente, alcanzando US$ 20,000 millones en exportaciones metalmecánicas (frente a US$ 712 millones de 2024) e incorporando masivamente a las empresas informales como proveedores tercerizados. Financiamiento Estratégico (Pilar 3): el Perú lidera la OPPC, un bloque de 7 países que concentra el 63% de la producción mundial (14.4 millones de toneladas anuales) y 626 millones de personas, con un recaudo anual directo al Estado de US$ 18,736 millones provenientes de un impuesto/arancel a la exportación de cobre, suficiente para financiar todo el desarrollo social e industrial del país.</w:t>
      </w:r>
    </w:p>
    <w:p>
      <w:r>
        <w:rPr>
          <w:rFonts w:ascii="Calibri" w:hAnsi="Calibri"/>
          <w:b/>
          <w:i w:val="0"/>
          <w:color w:val="D91023"/>
          <w:sz w:val="26"/>
        </w:rPr>
        <w:t>II · Síntesis de la situación actual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El Perú atraviesa una crisis de estancamiento productivo, desigualdad profunda y dependencia comercial; pese a un PBI de US$ 280,000 millones y exportaciones primarias, la riqueza no alcanza para desarrollar al país.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Desarrollo Humano (Pilar 1): 10 millones de peruanos en el segmento E (extrema pobreza), de los cuales 6 millones son niños.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Falla sanitaria y de infraestructura: 700,000 niños mayores de 3 años con anemia; 6.4 millones de personas sin desagüe y 3.3 millones sin agua.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Falla educativa: ratios alarmantes en universidades (23 alumnos por profesor en ciertas instituciones) que entregan títulos de baja calidad; en educación técnica metalmecánica, el 80% de los 400,000 alumnos deserta por falta de recursos para mantenerse.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Industrialización (Pilar 2): desindustrialización y dependencia absoluta de inversiones y manufacturas extranjeras; la economía se basa en exportar productos mineros (64%) y agrícolas (17%), mientras la metalmecánica representa solo el 1% de las exportaciones.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Caso de impacto: el Perú exporta 2.5 toneladas de concentrado de hierro a US$ 280 que, tras ser procesadas en Asia, regresan convertidas en una camioneta valorizada en US$ 28,000; la riqueza se queda en los países que transforman, no en los que venden tierra.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Dependencia comercial: el 80% de las exportaciones de cobre peruanas se dirigen a China, amarrando el futuro económico a un solo comprador.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Financiamiento (Pilar 3): la recaudación fiscal total por minería (pequeña, mediana y grande) es de apenas US$ 5,000 millones, insuficiente para cubrir las brechas sociales.</w:t>
      </w:r>
    </w:p>
    <w:p>
      <w:r>
        <w:rPr>
          <w:rFonts w:ascii="Calibri" w:hAnsi="Calibri"/>
          <w:b/>
          <w:i w:val="0"/>
          <w:color w:val="D91023"/>
          <w:sz w:val="26"/>
        </w:rPr>
        <w:t>III · Objetivos estratégicos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OE1. Erradicar la pobreza extrema (Segmento E) mediante una inversión integral en el nuevo ciudadano peruano: nivelar las condiciones de vida suministrando alimentación desde la gestación, infraestructura sanitaria total, postas médicas equipadas y un sistema educativo con profesores formados en el primer mundo. Meta: 100% de cobertura en agua y desagüe, erradicación de la anemia infantil y construcción de 440 colegios y 28 escuelas técnicas anuales en la primera fase.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OE2. Desarrollar industrias metalmecánicas de primer orden con tecnología propia: crear plantas industriales, acerías y petroquímica para fabricar componentes complejos, barcos, trenes, blindados y vehículos orientados a la exportación regional y global. Meta: exportaciones metalmecánicas por US$ 20,000 millones hacia 2050, incorporando a la fuerza laboral informal (12,600,000 personas) mediante la tercerización de servicios industriales.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OE3. Liderar la fijación de precios globales del cobre mediante la OPPC: unir a las naciones productoras para cobrar un arancel de salida de US$ 7,700 por tonelada de cobre que ingrese directamente al Estado sin pasar por la dilución del impuesto a la renta corporativo. Meta: recaudar US$ 18,736 millones anuales adicionales para apalancar el plan de inversiones de infraestructura y desarrollo humano.</w:t>
      </w:r>
    </w:p>
    <w:p>
      <w:r>
        <w:rPr>
          <w:rFonts w:ascii="Calibri" w:hAnsi="Calibri"/>
          <w:b/>
          <w:i w:val="0"/>
          <w:color w:val="D91023"/>
          <w:sz w:val="26"/>
        </w:rPr>
        <w:t>IV · Acciones estratégicas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Acción 1.1.1 (Inversión) — Programa de Alimentación y Salud desde la gestación: inversión directa de US$ 5.40 diarios para la alimentación de cada madre gestante y niño del segmento E, homologando su dieta con la del segmento A; construcción de 431 postas médicas de atención integral cada 5 años (inversión de US$ 1.5M c/u). Sin nutrición adecuada antes y después del nacimiento, el ciudadano nace con limitaciones cognitivas y físicas que impiden su inserción en una industria competitiva.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Acción 1.1.2 (Inversión) — Modernización Escolar y Técnica: construcción de 440 colegios por año con laboratorios y equipamiento; envío obligatorio de 20,000 profesores al año a capacitarse en el extranjero por 2 años (inversión de US$ 1,222 millones anuales); creación de 28 escuelas técnicas metalmecánicas anuales con becas de alimentación y viáticos para evitar la deserción.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Acción 2.2.1 (Producción) — Fabricación nacional de bienes de capital y defensa: prohibición progresiva de entregar contratos estatales a astilleros o fábricas extranjeras si existe capacidad de ingeniería inversa o co-fabricación local; impulso a la fabricación de patrulleras, trenes, tanques de combate y vehículos comerciales livianos en territorio peruano, creando cadenas de suministro locales que absorben y formalizan miles de talleres informales.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Acción 3.3.1 (Regulación) — Tratado fundacional de la OPPC: alianza estratégica entre Perú, Chile, República Democrática del Congo, Zambia, Indonesia, Kazajistán y México para controlar el 63% de la oferta mundial; imponer un gravamen de US$ 7,700/t (impacto marginal del 0.36% sobre el PBI mundial de 111 trillones) para lograr independencia financiera total del desarrollo social del Perú.</w:t>
      </w:r>
    </w:p>
    <w:p>
      <w:r>
        <w:rPr>
          <w:rFonts w:ascii="Calibri" w:hAnsi="Calibri"/>
          <w:b/>
          <w:i w:val="0"/>
          <w:color w:val="D91023"/>
          <w:sz w:val="26"/>
        </w:rPr>
        <w:t>V · Matriz resumen — indicadores: hoy → meta 2050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Hoy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Meta 2050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Crecimiento económico sostenido (rango superior)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6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PBI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Síntesis de la Situación Futura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Exportaciones del sector metalmecánico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712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US$ millones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Pilar 2 (actual 2024 vs. meta 2050)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Recaudo anual directo al Estado por arancel a la exportación de cobre (OPPC)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18 736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US$ millones/año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Pilar 3 / OE3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Arancel de salida por tonelada de cobre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7 700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US$/tonelada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OE3 / Acción 3.3.1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Cobertura de agua y desagüe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 ciudadanos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OE1 / Pilar 1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Niños mayores de 3 años con anemia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700 000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niños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Situación Actual (falla sanitaria)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Personas sin desagüe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6 400 000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personas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Situación Actual (falla sanitaria)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Personas sin agua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3 300 000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personas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Situación Actual (falla sanitaria)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Deserción en educación técnica metalmecánica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80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 alumnos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Situación Actual / Matriz Resumen 2040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Población en segmento E (extrema pobreza)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10 000 000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personas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Situación Actual (Pilar 1)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Colegios construidos por año (primera fase)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440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colegios/año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OE1 / Acción 1.1.2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Escuelas técnicas metalmecánicas creadas por año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28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escuelas/año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OE1 / Acción 1.1.2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Profesores formados en el extranjero por año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docentes/año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Acción 1.1.2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Niños con alimentación cubierta (Meta 2030)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1 950 000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niños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Resumen OE1 (Año 5 del Plan)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Niños con alimentación cubierta (Meta 2040)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5 850 000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niños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Resumen OE1 (Año 15 del Plan)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Postas médicas construidas y operativas (Meta 2030)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431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postas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Resumen Acción 1.1.1 (Año 5)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Postas médicas operativas en zonas vulnerables (Meta 2040)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1 293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postas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Resumen Acción 1.1.1 (Año 15)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Colegios construidos (Meta 2030)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2 200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colegios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Resumen Acción 1.1.2 (Año 5)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Profesores formados en el extranjero (Meta 2030)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docentes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Resumen Acción 1.1.2 (Año 5)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MYPES informales integradas a la cadena formal metalmecánica (Meta 2040)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500 000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MYPES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Resumen Acción 2.2.1 (Año 15)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Países fundadores de la OPPC (Meta 2030)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países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Resumen OE3 (Año 5)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Fuerza laboral informal a incorporar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12 600 000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personas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OE2 (Pilar 2)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Inversión diaria en alimentación por individuo del segmento 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5.4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US$/día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Acción 1.1.1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Inversión anual en formación docente y modernización escolar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1 222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US$ millones/año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Acción 1.1.2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1766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ce_indust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6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D6B88"/>
          <w:sz w:val="16"/>
        </w:rPr>
        <w:t>Avance estimado de cada indicador hacia su meta 2050.</w:t>
      </w:r>
    </w:p>
    <w:p>
      <w:r>
        <w:rPr>
          <w:rFonts w:ascii="Calibri" w:hAnsi="Calibri"/>
          <w:b/>
          <w:i w:val="0"/>
          <w:color w:val="D91023"/>
          <w:sz w:val="26"/>
        </w:rPr>
        <w:t>VI · Hitos de los primeros 100 días de Gobierno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Convocatoria diplomática para la OPPC: iniciar cumbres bilaterales inmediatas con Chile, Zambia y la R.D. del Congo para la firma del tratado fundacional de la OPPC. El boom de demanda de cobre es temporal (estimado en 20-25 años antes de reemplazos tecnológicos), por lo que se debe actuar de inmediato para asegurar la fuente de financiamiento del plan.</w:t>
      </w:r>
      <w:r>
        <w:rPr>
          <w:rFonts w:ascii="Calibri" w:hAnsi="Calibri"/>
          <w:b w:val="0"/>
          <w:i/>
          <w:color w:val="B8840E"/>
          <w:sz w:val="17"/>
        </w:rPr>
        <w:t xml:space="preserve">  [Orientación]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Lanzamiento del Programa Alimentario y de Infraestructura Escolar: asignación del presupuesto inicial (apalancado con el bajo nivel de endeudamiento nacional actual, 33%) para iniciar la alimentación de madres y niños, la construcción de escuelas y la instalación de agua/desagüe. La inversión en capital humano no admite demoras burocráticas porque un niño que nace con desnutrición tendrá daños irreversibles.</w:t>
      </w:r>
      <w:r>
        <w:rPr>
          <w:rFonts w:ascii="Calibri" w:hAnsi="Calibri"/>
          <w:b w:val="0"/>
          <w:i/>
          <w:color w:val="B8840E"/>
          <w:sz w:val="17"/>
        </w:rPr>
        <w:t xml:space="preserve">  [Inversión]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Modificación de la Ley de Donaciones Educativas y Fomento Industrial: cambiar la ley de aportes a universidades para que el 10% donado por la empresa privada se deduzca del resultado final del año y no antes del reparto de utilidades de los trabajadores; promulgar directivas que exijan transferencia tecnológica y prohíban compras militares/navales 'llave en mano' al extranjero, asegurando que el gasto público se quede en la economía peruana.</w:t>
      </w:r>
      <w:r>
        <w:rPr>
          <w:rFonts w:ascii="Calibri" w:hAnsi="Calibri"/>
          <w:b w:val="0"/>
          <w:i/>
          <w:color w:val="B8840E"/>
          <w:sz w:val="17"/>
        </w:rPr>
        <w:t xml:space="preserve">  [Regulación]</w:t>
      </w:r>
    </w:p>
    <w:p>
      <w:r>
        <w:rPr>
          <w:rFonts w:ascii="Calibri" w:hAnsi="Calibri"/>
          <w:b/>
          <w:i w:val="0"/>
          <w:color w:val="D91023"/>
          <w:sz w:val="26"/>
        </w:rPr>
        <w:t>VII · Articulación con el Acuerdo Nacional y el PEDN al 2050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Política 10 (Reducción de la pobreza y extrema pobreza): inversión directa de más de US$ 7,000 millones anuales iniciales en alimentación, agua y salud para los 10 millones de peruanos del Segmento E, sacándolos del asistencialismo y preparándolos para la productividad.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Política 15 (Promoción de la competitividad y formalización): al crear industrias de manufactura compleja (vehículos, trenes, barcos), se obliga a la cadena de suministro (MYPES hoy informales) a formalizarse para proveer al sector metalmecánico.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PEDN ON 1 (Pleno desarrollo de las capacidades de las personas): capacitación de 20,000 maestros anuales en el extranjero y construcción de 28 escuelas técnicas al año con viáticos completos para alumnos.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PEDN ON 3 (Elevada competitividad y productividad con empleo digno): el salto de exportar US$ 712 millones a US$ 20,000 millones en metalmecánica generará cientos de miles de empleos dignos, reteniendo el talento peruano que hoy emigra enviando remesas.</w:t>
      </w:r>
    </w:p>
    <w:p>
      <w:r>
        <w:rPr>
          <w:rFonts w:ascii="Calibri" w:hAnsi="Calibri"/>
          <w:b/>
          <w:i w:val="0"/>
          <w:color w:val="D91023"/>
          <w:sz w:val="26"/>
        </w:rPr>
        <w:t>VIII · Articulación con los Programas Presupuestales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PP 0001 / PP 0002: Programa Articulado Nutricional y Programa de Salud Materno Neonatal — fondos reestructurados para nutrición de madres gestantes y niños del sector E y construcción de postas médicas, proveyendo US$ 5.40 diarios por individuo.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PP 0090: Logros de Aprendizaje de Estudiantes de la Educación Básica Regular — formación de 20,000 docentes en el exterior e infraestructura de 440 colegios anuales.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PP 0147: Fortalecimiento de la Educación Superior Tecnológica — creación de 28 institutos técnicos anuales.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PP 0137: Desarrollo de la ciencia, tecnología e innovación — fomento de astilleros, fabricación ferroviaria y automotriz, con fondos para ingeniería inversa y creación tecnológica nacional.</w:t>
      </w:r>
    </w:p>
    <w:p>
      <w:r>
        <w:rPr>
          <w:rFonts w:ascii="Calibri" w:hAnsi="Calibri"/>
          <w:b/>
          <w:i w:val="0"/>
          <w:color w:val="D91023"/>
          <w:sz w:val="26"/>
        </w:rPr>
        <w:t>Pilares de la estrategia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Desarrollo Humano Integral: </w:t>
      </w:r>
      <w:r>
        <w:rPr>
          <w:rFonts w:ascii="Calibri" w:hAnsi="Calibri"/>
          <w:b w:val="0"/>
          <w:i w:val="0"/>
          <w:color w:val="1A2238"/>
          <w:sz w:val="21"/>
        </w:rPr>
        <w:t>Cierre total de brechas en alimentación, salud, agua, desagüe y educación (escolar y técnica) para las poblaciones vulnerables, creando al 'nuevo peruano'.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Industrialización Nacional: </w:t>
      </w:r>
      <w:r>
        <w:rPr>
          <w:rFonts w:ascii="Calibri" w:hAnsi="Calibri"/>
          <w:b w:val="0"/>
          <w:i w:val="0"/>
          <w:color w:val="1A2238"/>
          <w:sz w:val="21"/>
        </w:rPr>
        <w:t>Desarrollo de industrias metalmecánicas de primer orden (fabricación naval, ferroviaria, militar y automotriz) con tecnología y diseños propios, exportando valor agregado.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Financiamiento Estratégico (OPPC): </w:t>
      </w:r>
      <w:r>
        <w:rPr>
          <w:rFonts w:ascii="Calibri" w:hAnsi="Calibri"/>
          <w:b w:val="0"/>
          <w:i w:val="0"/>
          <w:color w:val="1A2238"/>
          <w:sz w:val="21"/>
        </w:rPr>
        <w:t>Creación de la Organización de Países Productores de Cobre para implementar un arancel global que financie el desarrollo social del país.</w:t>
      </w:r>
    </w:p>
    <w:p>
      <w:r>
        <w:rPr>
          <w:rFonts w:ascii="Calibri" w:hAnsi="Calibri"/>
          <w:b/>
          <w:i w:val="0"/>
          <w:color w:val="D91023"/>
          <w:sz w:val="26"/>
        </w:rPr>
        <w:t>Recomendación de política</w:t>
      </w:r>
    </w:p>
    <w:p>
      <w:r>
        <w:rPr>
          <w:rFonts w:ascii="Calibri" w:hAnsi="Calibri"/>
          <w:b w:val="0"/>
          <w:i w:val="0"/>
          <w:color w:val="1A2238"/>
          <w:sz w:val="21"/>
        </w:rPr>
        <w:t>Priorizar en los primeros 100 días la convocatoria diplomática para constituir la OPPC y el lanzamiento simultáneo del Programa Alimentario e Infraestructura Escolar, aprovechando la ventana temporal del boom de demanda de cobre (20-25 años) y el bajo endeudamiento nacional (33%) para apalancar el financiamiento del desarrollo humano e industrial sin afectar la economía mundial.</w:t>
      </w:r>
    </w:p>
    <w:p/>
    <w:p>
      <w:r>
        <w:rPr>
          <w:rFonts w:ascii="Calibri" w:hAnsi="Calibri"/>
          <w:b w:val="0"/>
          <w:i/>
          <w:color w:val="5D6B88"/>
          <w:sz w:val="15"/>
        </w:rPr>
        <w:t>Documento potenciado a partir de la redacción de la comisión. Las cifras provienen del documento fuente y están sujetas a validación oficial. La silueta territorial es referencial.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