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Perú en la Era Digital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Infraestructura y Conectividad</w:t>
      </w:r>
    </w:p>
    <w:p>
      <w:r>
        <w:rPr>
          <w:rFonts w:ascii="Calibri" w:hAnsi="Calibri"/>
          <w:b w:val="0"/>
          <w:i w:val="0"/>
          <w:color w:val="1A2238"/>
          <w:sz w:val="23"/>
        </w:rPr>
        <w:t>La comisión propone abordar a Perú en la era digital al 2050 mediante seis ejes estratégicos alineados a los cuatro Objetivos Nacionales del PEDN 2050, entendiendo la era digital como un fenómeno transversal de desarrollo y no como una agenda meramente tecnológica.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11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Objetivos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Contenido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futura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II.  </w:t>
      </w:r>
      <w:r>
        <w:rPr>
          <w:rFonts w:ascii="Calibri" w:hAnsi="Calibri"/>
          <w:b w:val="0"/>
          <w:i w:val="0"/>
          <w:color w:val="1A2238"/>
          <w:sz w:val="20"/>
        </w:rPr>
        <w:t>Síntesis de la situación actual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III.  </w:t>
      </w:r>
      <w:r>
        <w:rPr>
          <w:rFonts w:ascii="Calibri" w:hAnsi="Calibri"/>
          <w:b w:val="0"/>
          <w:i w:val="0"/>
          <w:color w:val="1A2238"/>
          <w:sz w:val="20"/>
        </w:rPr>
        <w:t>Objetivos estratégicos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IV.  </w:t>
      </w:r>
      <w:r>
        <w:rPr>
          <w:rFonts w:ascii="Calibri" w:hAnsi="Calibri"/>
          <w:b w:val="0"/>
          <w:i w:val="0"/>
          <w:color w:val="1A2238"/>
          <w:sz w:val="20"/>
        </w:rPr>
        <w:t>Acciones estratégicas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V.  </w:t>
      </w:r>
      <w:r>
        <w:rPr>
          <w:rFonts w:ascii="Calibri" w:hAnsi="Calibri"/>
          <w:b w:val="0"/>
          <w:i w:val="0"/>
          <w:color w:val="1A2238"/>
          <w:sz w:val="20"/>
        </w:rPr>
        <w:t>Matriz resumen (indicadores)</w:t>
      </w:r>
    </w:p>
    <w:p>
      <w:r>
        <w:rPr>
          <w:rFonts w:ascii="Calibri" w:hAnsi="Calibri"/>
          <w:b/>
          <w:i w:val="0"/>
          <w:color w:val="D91023"/>
          <w:sz w:val="20"/>
        </w:rPr>
        <w:t xml:space="preserve">VI.  </w:t>
      </w:r>
      <w:r>
        <w:rPr>
          <w:rFonts w:ascii="Calibri" w:hAnsi="Calibri"/>
          <w:b w:val="0"/>
          <w:i w:val="0"/>
          <w:color w:val="1A2238"/>
          <w:sz w:val="20"/>
        </w:rPr>
        <w:t>Hitos de los primeros 100 días de Gobierno</w:t>
      </w:r>
    </w:p>
    <w:p>
      <w:r>
        <w:rPr>
          <w:rFonts w:ascii="Calibri" w:hAnsi="Calibri"/>
          <w:b/>
          <w:i w:val="0"/>
          <w:color w:val="D91023"/>
          <w:sz w:val="26"/>
        </w:rPr>
        <w:t>I · Síntesis de la situación futura</w:t>
      </w:r>
    </w:p>
    <w:p>
      <w:r>
        <w:rPr>
          <w:rFonts w:ascii="Calibri" w:hAnsi="Calibri"/>
          <w:b w:val="0"/>
          <w:i w:val="0"/>
          <w:color w:val="1A2238"/>
          <w:sz w:val="21"/>
        </w:rPr>
        <w:t>Un "Perú digital inclusivo, productivo y confiable al 2050": un país que aprovecha la era digital para cerrar brechas sociales y territoriales, elevar la productividad, fortalecer la democracia, mejorar los servicios públicos y desarrollar capacidades humanas para una sociedad basada en el conocimiento, donde personas, empresas, instituciones y territorios participen de forma segura, inclusiva y sostenible en la vida digital.</w:t>
      </w:r>
    </w:p>
    <w:p>
      <w:r>
        <w:rPr>
          <w:rFonts w:ascii="Calibri" w:hAnsi="Calibri"/>
          <w:b/>
          <w:i w:val="0"/>
          <w:color w:val="D91023"/>
          <w:sz w:val="26"/>
        </w:rPr>
        <w:t>II · Síntesis de la situación actual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Conectividad domiciliaria no universal: solo 58.9% de hogares con Internet en el primer trimestre de 2025 (INEI), pese a que 95.6% cuenta con al menos una TIC.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Brecha territorial crítica: Lima Metropolitana 80.3%, resto urbano 60.7% y área rural solo 20.5% de hogares con Internet; persisten zonas rurales, amazónicas, altoandinas y periurbanas rezagadas.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Uso de Internet alto pero ciudadanía digital limitada: 77.7% de la población de 6 y más años usó Internet en el primer trimestre de 2024, pero persisten brechas en competencias, seguridad, pensamiento crítico y habilidades para 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digital desigual en mipymes y regiones; la digitalización aún no se traduce en productividad, formalización, innovación ni empleo decente.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Estado digital incipiente: la PNTD 2030 impulsa gobierno digital e interoperabilidad, pero falta consolidar servicios de extremo a extremo y gobernanza de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Capacidades institucionales de confianza digital y ciberseguridad que deben madurar.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Adopción de IA, IoT, analítica avanzada y automatización creciente pero fragmentada, sin estrategia nacional integral.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Contexto global: ~2.2 mil millones de personas siguen fuera de Internet (ITU 2025), riesgo de profundizar desigualdades si no se actúa sobre conectividad significativa, talento y confianza.</w:t>
      </w:r>
    </w:p>
    <w:p>
      <w:r>
        <w:rPr>
          <w:rFonts w:ascii="Calibri" w:hAnsi="Calibri"/>
          <w:b/>
          <w:i w:val="0"/>
          <w:color w:val="D91023"/>
          <w:sz w:val="26"/>
        </w:rPr>
        <w:t>III · Objetivos estratégicos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adultos con competencias digitales básicas o intermedias y alfabetización en IA incorporada en el sistema educativo (básica, técnica y superior).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conectividad significativa universal en instituciones públicas, hogares y territorios priorizados; 100% de capitales distritales con servicios digitales esenciales; instituciones educativas y centros de salud conectados al 100%.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70% de mipymes formales con adopción digital productiva y uso de plataformas, datos o IA; ecosistemas regionales de innovación digital.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90% de servicios públicos priorizados disponibles de extremo a extremo; identidad digital e interoperabilidad plenamente implementadas y reducción significativa de costos de transacción ciudadana.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sistema nacional de confianza digital maduro, con capacidades permanentes de ciberseguridad, prevención y respuesta, y regulación ética y transparente para IA y datos.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Al 2050, soluciones de IA y datos implementadas en salud, educación, ambiente, agricultura, justicia, logística y gestión de riesgos, con criterios de sostenibilidad digital en infraestructura y compras públicas.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Sistemas de monitoreo ambiental, climático y de riesgos funcionando en tiempo real.</w:t>
      </w:r>
    </w:p>
    <w:p>
      <w:r>
        <w:rPr>
          <w:rFonts w:ascii="Calibri" w:hAnsi="Calibri"/>
          <w:b/>
          <w:i w:val="0"/>
          <w:color w:val="D91023"/>
          <w:sz w:val="26"/>
        </w:rPr>
        <w:t>IV · Acciones estratégicas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Educación digital e IA: actualizar el currículo escolar, técnico y universitario con competencias digitales, pensamiento computacional, alfabetización en IA, ética digital y seguridad en línea (AE1.1).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Inclusión digital social focalizada para adultos mayores, mujeres, personas con discapacidad, población rural, pueblos indígenas y jóvenes fuera del sistema educativo (AE1.2).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Salud y bienestar digital: telesalud, historia clínica digital interoperable y analítica para atención primaria (AE1.3).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Plan nacional de conectividad significativa para hogares, escuelas, centros de salud, comisarías, municipalidades y espacios públicos comunitarios (AE2.1).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Infraestructura digital territorial: fibra, 5G/6G, nube pública, centros de datos resilientes y nodos regionales de interoperabilidad (AE2.2).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Territorio inteligente y datos geoespaciales: sensores, imágenes satelitales, gemelos digitales y analítica para gestionar riesgos, agua, ambiente, ciudades y transporte (AE2.3).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Digitalización productiva de mipymes con paquetes de adopción (facturación, pagos, comercio electrónico, CRM, logística, analítica e IA) (AE3.1).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Ecosistemas regionales de innovación digital: hubs regionales, laboratorios de IA, centros de transferencia tecnológica y alianzas empresa-universidad-Estado (AE3.2).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Empleo y reconversión laboral digital: programas de reskilling y upskilling para trabajadores expuestos a automatización e IA generativa (AE3.3).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Servicios públicos digitales de extremo a extremo en identidad, salud, educación, justicia, seguridad, programas sociales, licencias y permisos (AE4.1).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Gobierno y arquitectura de datos públicos: catálogo nacional de datos, estándares de calidad e interoperabilidad, datos maestros, analítica pública y tableros de seguimiento del PEDN (AE4.2).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Identidad digital e interoperabilidad universal: identidad segura, firma digital, expediente digital e interoperabilidad entre niveles de gobierno (AE4.3).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Marco nacional de confianza digital al 2050: actualizar normas de ciberseguridad, protección de datos, identidad digital, derechos digitales, seguridad infantil y ética de IA (AE5.1).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Centro nacional de resiliencia y respuesta digital ante incidentes cibernéticos en Estado, infraestructura crítica y servicios esenciales (AE5.2).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Gobernanza ética de IA y algoritmos públicos: estándares de transparencia, explicabilidad, auditoría, gestión de sesgos y evaluación de impacto (AE5.3).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Misiones nacionales de IA para problemas públicos en salud, educación, agricultura, clima, justicia, seguridad ciudadana, logística e informalidad (AE6.1).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Sandbox regulatorio para tecnologías emergentes (IA, fintech, govtech, healthtech, edtech, blockchain, IoT, automatización) (AE6.2).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Sostenibilidad digital y compras públicas verdes: eficiencia energética, economía circular, huella de carbono digital y gestión de residuos electrónicos (AE6.3).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Hitos de 100 días: levantar el mapa nacional de brechas digitales críticas, seleccionar 10 servicios públicos digitales críticos, lanzar pilotos de alfabetización en IA y diseñar el Programa Nacional de IA para Problemas Públicos.</w:t>
      </w:r>
    </w:p>
    <w:p>
      <w:r>
        <w:rPr>
          <w:rFonts w:ascii="Calibri" w:hAnsi="Calibri"/>
          <w:b/>
          <w:i w:val="0"/>
          <w:color w:val="D91023"/>
          <w:sz w:val="26"/>
        </w:rPr>
        <w:t>V · Matriz resumen — 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58.9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trimestre); valor óptimo 2050 referencial (cobertura/conectividad signif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Lima Metropolitana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80.3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resto urbano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60.7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acceso a Internet - área rural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20.5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Hogares con al menos una TIC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95.6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2025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Población de 6 y más años que usó Internet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77.7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INEI 2024 (primer trimestre)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Adultos con competencias digitales básicas o intermedias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Mipymes formales con adopción digital productiva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40%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Servicios públicos priorizados disponibles de extremo a extremo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90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referencial; hitos intermedios: 60% al 2040 (matriz resumen)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Capitales distritales con servicios digitales esenciales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Instituciones educativas y centros de salud conectados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Valor óptimo referencial (escenario al 2050)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 · Hitos de los primeros 100 días de Gobierno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Crear e instalar la Comisión Multisectorial "Perú en la Era Digital al 2050", espacio de gobernanza de alto nivel con PCM, CEPLAN, MTC, MINEDU, MINSA, PRODUCE, MEF, RENIEC, academia, sector privado y sociedad civil</w:t>
      </w:r>
      <w:r>
        <w:rPr>
          <w:rFonts w:ascii="Calibri" w:hAnsi="Calibri"/>
          <w:b w:val="0"/>
          <w:i/>
          <w:color w:val="B8840E"/>
          <w:sz w:val="17"/>
        </w:rPr>
        <w:t xml:space="preserve">  [institucional]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Aprobar una hoja de ruta preliminar de Era Digital 2050 que defina visión, ejes, indicadores, responsabilidades, metas 2030-2040-2050 y cartera de iniciativas estratégicas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Levantar el mapa nacional de brechas digitales críticas, identificando brechas de conectividad, competencias, servicios públicos, datos, ciberseguridad y adopción digital productiva por región</w:t>
      </w:r>
      <w:r>
        <w:rPr>
          <w:rFonts w:ascii="Calibri" w:hAnsi="Calibri"/>
          <w:b w:val="0"/>
          <w:i/>
          <w:color w:val="B8840E"/>
          <w:sz w:val="17"/>
        </w:rPr>
        <w:t xml:space="preserve">  [institucional]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Seleccionar 10 servicios públicos digitales críticos de alto impacto ciudadano para convertirlos en servicios digitales de extremo a extremo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Lanzar pilotos de alfabetización en IA y ciudadanía digital en colegios, institutos, universidades, centros de empleo y comunidades vulnerables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Diseñar el Programa Nacional de IA para Problemas Públicos, seleccionando casos de uso en salud, educación, ambiente, seguridad, agricultura, justicia y trámites</w:t>
      </w:r>
      <w:r>
        <w:rPr>
          <w:rFonts w:ascii="Calibri" w:hAnsi="Calibri"/>
          <w:b w:val="0"/>
          <w:i/>
          <w:color w:val="B8840E"/>
          <w:sz w:val="17"/>
        </w:rPr>
        <w:t xml:space="preserve">  [programa]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Formular el marco inicial de gobernanza ética de IA y datos, estableciendo principios de transparencia, privacidad, seguridad, no discriminación, auditoría y rendición de cuentas</w:t>
      </w:r>
      <w:r>
        <w:rPr>
          <w:rFonts w:ascii="Calibri" w:hAnsi="Calibri"/>
          <w:b w:val="0"/>
          <w:i/>
          <w:color w:val="B8840E"/>
          <w:sz w:val="17"/>
        </w:rPr>
        <w:t xml:space="preserve">  [regulación]</w:t>
      </w:r>
    </w:p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Ciudadanía, capacidades y bienestar digital: </w:t>
      </w:r>
      <w:r>
        <w:rPr>
          <w:rFonts w:ascii="Calibri" w:hAnsi="Calibri"/>
          <w:b w:val="0"/>
          <w:i w:val="0"/>
          <w:color w:val="1A2238"/>
          <w:sz w:val="21"/>
        </w:rPr>
        <w:t>Población con competencias digitales, alfabetización en IA, uso crítico de información y acceso inclusivo a educación, salud y servicios digitales (vinculado a ON1).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Infraestructura, conectividad significativa y territorio inteligente: </w:t>
      </w:r>
      <w:r>
        <w:rPr>
          <w:rFonts w:ascii="Calibri" w:hAnsi="Calibri"/>
          <w:b w:val="0"/>
          <w:i w:val="0"/>
          <w:color w:val="1A2238"/>
          <w:sz w:val="21"/>
        </w:rPr>
        <w:t>Conectividad de calidad en todo el territorio, con redes resilientes, nube, centros de datos, interoperabilidad y monitoreo territorial basado en datos (vinculado a ON2).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Economía digital, productividad e innovación: </w:t>
      </w:r>
      <w:r>
        <w:rPr>
          <w:rFonts w:ascii="Calibri" w:hAnsi="Calibri"/>
          <w:b w:val="0"/>
          <w:i w:val="0"/>
          <w:color w:val="1A2238"/>
          <w:sz w:val="21"/>
        </w:rPr>
        <w:t>Empresas, mipymes, startups y sectores productivos que usan plataformas, IA, automatización, datos y comercio digital para elevar productividad y competitividad (vinculado a ON3).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Estado digital, servicios públicos e interoperabilidad: </w:t>
      </w:r>
      <w:r>
        <w:rPr>
          <w:rFonts w:ascii="Calibri" w:hAnsi="Calibri"/>
          <w:b w:val="0"/>
          <w:i w:val="0"/>
          <w:color w:val="1A2238"/>
          <w:sz w:val="21"/>
        </w:rPr>
        <w:t>Estado interoperable, predictivo, empático y orientado al ciudadano, con servicios digitales de extremo a extremo y decisiones basadas en datos (vinculado a ON4).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Gobernanza, confianza, ciberseguridad y derechos digitales: </w:t>
      </w:r>
      <w:r>
        <w:rPr>
          <w:rFonts w:ascii="Calibri" w:hAnsi="Calibri"/>
          <w:b w:val="0"/>
          <w:i w:val="0"/>
          <w:color w:val="1A2238"/>
          <w:sz w:val="21"/>
        </w:rPr>
        <w:t>Marco institucional que protege datos, derechos digitales, seguridad, ética de IA y confianza pública en el entorno digital (vinculado a ON4 y transversal).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Tecnologías emergentes, inteligencia artificial y sostenibilidad: </w:t>
      </w:r>
      <w:r>
        <w:rPr>
          <w:rFonts w:ascii="Calibri" w:hAnsi="Calibri"/>
          <w:b w:val="0"/>
          <w:i w:val="0"/>
          <w:color w:val="1A2238"/>
          <w:sz w:val="21"/>
        </w:rPr>
        <w:t>Uso de IA, IoT, blockchain, analítica, automatización, gemelos digitales y tecnologías verdes para resolver problemas nacionales (vinculado a ON2 y ON3).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Usar como matriz principal la relación entre los cuatro Objetivos Nacionales del PEDN 2050 y los seis ejes propuestos de la era digital, evitando reducir el trabajo a transformación digital; e instalar en los primeros 100 días una Comisión Multisectorial "Perú en la Era Digital al 2050" (PCM, CEPLAN, MTC, MINEDU, MINSA, PRODUCE, MEF, RENIEC, academia, sector privado y sociedad civil) como espacio de gobernanza de alto nivel para articular PEDN, PNTD 2030 y eLAC2026.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