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B8840E"/>
          <w:sz w:val="22"/>
        </w:rPr>
        <w:t>PLAN PERÚ 2050</w:t>
      </w:r>
      <w:r>
        <w:br/>
      </w:r>
      <w:r>
        <w:rPr>
          <w:rFonts w:ascii="Calibri" w:hAnsi="Calibri"/>
          <w:b w:val="0"/>
          <w:i w:val="0"/>
          <w:color w:val="5D6B88"/>
          <w:sz w:val="18"/>
        </w:rPr>
        <w:t>Comisión Temática Nacional · CNPP — Colegio de Ingenieros del Perú</w:t>
      </w:r>
    </w:p>
    <w:p>
      <w:r>
        <w:rPr>
          <w:rFonts w:ascii="Calibri" w:hAnsi="Calibri"/>
          <w:b/>
          <w:i w:val="0"/>
          <w:color w:val="D91023"/>
          <w:sz w:val="48"/>
        </w:rPr>
        <w:t>Pesca</w:t>
      </w:r>
    </w:p>
    <w:p>
      <w:r>
        <w:rPr>
          <w:rFonts w:ascii="Calibri" w:hAnsi="Calibri"/>
          <w:b w:val="0"/>
          <w:i/>
          <w:color w:val="5D6B88"/>
          <w:sz w:val="21"/>
        </w:rPr>
        <w:t>Eje estratégico: Sostenibilidad y Ambiente</w:t>
      </w:r>
    </w:p>
    <w:p>
      <w:r>
        <w:rPr>
          <w:rFonts w:ascii="Calibri" w:hAnsi="Calibri"/>
          <w:b w:val="0"/>
          <w:i w:val="0"/>
          <w:color w:val="1A2238"/>
          <w:sz w:val="23"/>
        </w:rPr>
        <w:t>Informe de la Comisión Pesca del Plan Perú 2040 (CNPP / Colegio de Ingenieros del Perú). Plantea un sector pesquero que explote racionalmente los recursos renovables, priorice el consumo humano directo, agregue valor y preserve el ecosistema marino de Humboldt, frente a la sobrepesca, la informalidad artesanal y la debilidad institucional.</w:t>
      </w:r>
    </w:p>
    <w:p>
      <w:r>
        <w:rPr>
          <w:rFonts w:ascii="Calibri" w:hAnsi="Calibri"/>
          <w:b/>
          <w:i w:val="0"/>
          <w:color w:val="D91023"/>
          <w:sz w:val="26"/>
        </w:rPr>
        <w:t>Síntesis cuantitativa</w:t>
      </w:r>
    </w:p>
    <w:tbl>
      <w:tblPr>
        <w:tblW w:type="auto" w:w="0"/>
        <w:jc w:val="center"/>
        <w:tblLook w:firstColumn="1" w:firstRow="1" w:lastColumn="0" w:lastRow="0" w:noHBand="0" w:noVBand="1" w:val="04A0"/>
      </w:tblPr>
      <w:tblGrid>
        <w:gridCol w:w="2484"/>
        <w:gridCol w:w="2484"/>
        <w:gridCol w:w="2484"/>
        <w:gridCol w:w="2484"/>
      </w:tblGrid>
      <w:tr>
        <w:tc>
          <w:tcPr>
            <w:tcW w:type="dxa" w:w="2484"/>
            <w:shd w:fill="F4F6FB"/>
          </w:tcPr>
          <w:p>
            <w:pPr>
              <w:jc w:val="center"/>
            </w:pPr>
            <w:r>
              <w:rPr>
                <w:rFonts w:ascii="Calibri" w:hAnsi="Calibri"/>
                <w:b/>
                <w:i w:val="0"/>
                <w:color w:val="D91023"/>
                <w:sz w:val="36"/>
              </w:rPr>
              <w:t>6</w:t>
              <w:br/>
            </w:r>
            <w:r>
              <w:rPr>
                <w:rFonts w:ascii="Calibri" w:hAnsi="Calibri"/>
                <w:b w:val="0"/>
                <w:i w:val="0"/>
                <w:color w:val="5D6B88"/>
                <w:sz w:val="17"/>
              </w:rPr>
              <w:t>Indicadores</w:t>
            </w:r>
          </w:p>
        </w:tc>
        <w:tc>
          <w:tcPr>
            <w:tcW w:type="dxa" w:w="2484"/>
            <w:shd w:fill="F4F6FB"/>
          </w:tcPr>
          <w:p>
            <w:pPr>
              <w:jc w:val="center"/>
            </w:pPr>
            <w:r>
              <w:rPr>
                <w:rFonts w:ascii="Calibri" w:hAnsi="Calibri"/>
                <w:b/>
                <w:i w:val="0"/>
                <w:color w:val="D91023"/>
                <w:sz w:val="36"/>
              </w:rPr>
              <w:t>6</w:t>
              <w:br/>
            </w:r>
            <w:r>
              <w:rPr>
                <w:rFonts w:ascii="Calibri" w:hAnsi="Calibri"/>
                <w:b w:val="0"/>
                <w:i w:val="0"/>
                <w:color w:val="5D6B88"/>
                <w:sz w:val="17"/>
              </w:rPr>
              <w:t>Pilares</w:t>
            </w:r>
          </w:p>
        </w:tc>
        <w:tc>
          <w:tcPr>
            <w:tcW w:type="dxa" w:w="2484"/>
            <w:shd w:fill="F4F6FB"/>
          </w:tcPr>
          <w:p>
            <w:pPr>
              <w:jc w:val="center"/>
            </w:pPr>
            <w:r>
              <w:rPr>
                <w:rFonts w:ascii="Calibri" w:hAnsi="Calibri"/>
                <w:b/>
                <w:i w:val="0"/>
                <w:color w:val="D91023"/>
                <w:sz w:val="36"/>
              </w:rPr>
              <w:t>6</w:t>
              <w:br/>
            </w:r>
            <w:r>
              <w:rPr>
                <w:rFonts w:ascii="Calibri" w:hAnsi="Calibri"/>
                <w:b w:val="0"/>
                <w:i w:val="0"/>
                <w:color w:val="5D6B88"/>
                <w:sz w:val="17"/>
              </w:rPr>
              <w:t>Objetivos</w:t>
            </w:r>
          </w:p>
        </w:tc>
        <w:tc>
          <w:tcPr>
            <w:tcW w:type="dxa" w:w="2484"/>
            <w:shd w:fill="F4F6FB"/>
          </w:tcPr>
          <w:p>
            <w:pPr>
              <w:jc w:val="center"/>
            </w:pPr>
            <w:r>
              <w:rPr>
                <w:rFonts w:ascii="Calibri" w:hAnsi="Calibri"/>
                <w:b/>
                <w:i w:val="0"/>
                <w:color w:val="D91023"/>
                <w:sz w:val="36"/>
              </w:rPr>
              <w:t>—</w:t>
              <w:br/>
            </w:r>
            <w:r>
              <w:rPr>
                <w:rFonts w:ascii="Calibri" w:hAnsi="Calibri"/>
                <w:b w:val="0"/>
                <w:i w:val="0"/>
                <w:color w:val="5D6B88"/>
                <w:sz w:val="17"/>
              </w:rPr>
              <w:t>Avance estimado</w:t>
            </w:r>
          </w:p>
        </w:tc>
      </w:tr>
    </w:tbl>
    <w:p>
      <w:r>
        <w:rPr>
          <w:rFonts w:ascii="Calibri" w:hAnsi="Calibri"/>
          <w:b/>
          <w:i w:val="0"/>
          <w:color w:val="D91023"/>
          <w:sz w:val="26"/>
        </w:rPr>
        <w:t>Contenido</w:t>
      </w:r>
    </w:p>
    <w:p>
      <w:r>
        <w:rPr>
          <w:rFonts w:ascii="Calibri" w:hAnsi="Calibri"/>
          <w:b/>
          <w:i w:val="0"/>
          <w:color w:val="D91023"/>
          <w:sz w:val="20"/>
        </w:rPr>
        <w:t xml:space="preserve">I.  </w:t>
      </w:r>
      <w:r>
        <w:rPr>
          <w:rFonts w:ascii="Calibri" w:hAnsi="Calibri"/>
          <w:b w:val="0"/>
          <w:i w:val="0"/>
          <w:color w:val="1A2238"/>
          <w:sz w:val="20"/>
        </w:rPr>
        <w:t>Síntesis de la situación futura</w:t>
      </w:r>
    </w:p>
    <w:p>
      <w:r>
        <w:rPr>
          <w:rFonts w:ascii="Calibri" w:hAnsi="Calibri"/>
          <w:b/>
          <w:i w:val="0"/>
          <w:color w:val="D91023"/>
          <w:sz w:val="20"/>
        </w:rPr>
        <w:t xml:space="preserve">II.  </w:t>
      </w:r>
      <w:r>
        <w:rPr>
          <w:rFonts w:ascii="Calibri" w:hAnsi="Calibri"/>
          <w:b w:val="0"/>
          <w:i w:val="0"/>
          <w:color w:val="1A2238"/>
          <w:sz w:val="20"/>
        </w:rPr>
        <w:t>Síntesis de la situación actual</w:t>
      </w:r>
    </w:p>
    <w:p>
      <w:r>
        <w:rPr>
          <w:rFonts w:ascii="Calibri" w:hAnsi="Calibri"/>
          <w:b/>
          <w:i w:val="0"/>
          <w:color w:val="D91023"/>
          <w:sz w:val="20"/>
        </w:rPr>
        <w:t xml:space="preserve">III.  </w:t>
      </w:r>
      <w:r>
        <w:rPr>
          <w:rFonts w:ascii="Calibri" w:hAnsi="Calibri"/>
          <w:b w:val="0"/>
          <w:i w:val="0"/>
          <w:color w:val="1A2238"/>
          <w:sz w:val="20"/>
        </w:rPr>
        <w:t>Objetivos estratégicos</w:t>
      </w:r>
    </w:p>
    <w:p>
      <w:r>
        <w:rPr>
          <w:rFonts w:ascii="Calibri" w:hAnsi="Calibri"/>
          <w:b/>
          <w:i w:val="0"/>
          <w:color w:val="D91023"/>
          <w:sz w:val="20"/>
        </w:rPr>
        <w:t xml:space="preserve">IV.  </w:t>
      </w:r>
      <w:r>
        <w:rPr>
          <w:rFonts w:ascii="Calibri" w:hAnsi="Calibri"/>
          <w:b w:val="0"/>
          <w:i w:val="0"/>
          <w:color w:val="1A2238"/>
          <w:sz w:val="20"/>
        </w:rPr>
        <w:t>Acciones estratégicas</w:t>
      </w:r>
    </w:p>
    <w:p>
      <w:r>
        <w:rPr>
          <w:rFonts w:ascii="Calibri" w:hAnsi="Calibri"/>
          <w:b/>
          <w:i w:val="0"/>
          <w:color w:val="D91023"/>
          <w:sz w:val="20"/>
        </w:rPr>
        <w:t xml:space="preserve">V.  </w:t>
      </w:r>
      <w:r>
        <w:rPr>
          <w:rFonts w:ascii="Calibri" w:hAnsi="Calibri"/>
          <w:b w:val="0"/>
          <w:i w:val="0"/>
          <w:color w:val="1A2238"/>
          <w:sz w:val="20"/>
        </w:rPr>
        <w:t>Matriz resumen (indicadores)</w:t>
      </w:r>
    </w:p>
    <w:p>
      <w:r>
        <w:rPr>
          <w:rFonts w:ascii="Calibri" w:hAnsi="Calibri"/>
          <w:b/>
          <w:i w:val="0"/>
          <w:color w:val="D91023"/>
          <w:sz w:val="20"/>
        </w:rPr>
        <w:t xml:space="preserve">VI.  </w:t>
      </w:r>
      <w:r>
        <w:rPr>
          <w:rFonts w:ascii="Calibri" w:hAnsi="Calibri"/>
          <w:b w:val="0"/>
          <w:i w:val="0"/>
          <w:color w:val="1A2238"/>
          <w:sz w:val="20"/>
        </w:rPr>
        <w:t>Hitos de los primeros 100 días de Gobierno</w:t>
      </w:r>
    </w:p>
    <w:p>
      <w:r>
        <w:rPr>
          <w:rFonts w:ascii="Calibri" w:hAnsi="Calibri"/>
          <w:b/>
          <w:i w:val="0"/>
          <w:color w:val="D91023"/>
          <w:sz w:val="26"/>
        </w:rPr>
        <w:t>I · Síntesis de la situación futura</w:t>
      </w:r>
    </w:p>
    <w:p>
      <w:r>
        <w:rPr>
          <w:rFonts w:ascii="Calibri" w:hAnsi="Calibri"/>
          <w:b w:val="0"/>
          <w:i w:val="0"/>
          <w:color w:val="1A2238"/>
          <w:sz w:val="21"/>
        </w:rPr>
        <w:t>Visión Plan Perú 2040: el Perú será una sociedad humanista, educada en la economía de la creatividad, que aprovecha su biodiversidad convirtiéndola en su eje económico, innovando mediante ciencia y tecnología con productos y servicios de alta calidad; líder en la oferta exportable de productos con valor agregado, con una población de alta calidad de vida y oportunidades de desarrollo, en un ambiente sostenible y con el Perú como marca de la biodiversidad en el mundo. Visión del sector Pesca: para el 2040 el Perú tendrá un sector pesquero que contribuirá al desarrollo del país, explotando racionalmente los recursos pesqueros renovables, preservando el medio ambiente y potenciando el desarrollo económico y social de las regiones.</w:t>
      </w:r>
    </w:p>
    <w:p>
      <w:r>
        <w:rPr>
          <w:rFonts w:ascii="Calibri" w:hAnsi="Calibri"/>
          <w:b/>
          <w:i w:val="0"/>
          <w:color w:val="D91023"/>
          <w:sz w:val="26"/>
        </w:rPr>
        <w:t>II · Síntesis de la situación actual</w:t>
      </w:r>
    </w:p>
    <w:p>
      <w:pPr>
        <w:pStyle w:val="ListBullet"/>
      </w:pPr>
      <w:r>
        <w:rPr>
          <w:rFonts w:ascii="Calibri" w:hAnsi="Calibri"/>
          <w:b w:val="0"/>
          <w:i w:val="0"/>
          <w:color w:val="1A2238"/>
          <w:sz w:val="21"/>
        </w:rPr>
        <w:t>La FAO ubica al Perú entre los países que necesitan consumir más proteínas, paradójicamente pese a su ingente riqueza en proteínas marinas.</w:t>
      </w:r>
    </w:p>
    <w:p>
      <w:pPr>
        <w:pStyle w:val="ListBullet"/>
      </w:pPr>
      <w:r>
        <w:rPr>
          <w:rFonts w:ascii="Calibri" w:hAnsi="Calibri"/>
          <w:b w:val="0"/>
          <w:i w:val="0"/>
          <w:color w:val="1A2238"/>
          <w:sz w:val="21"/>
        </w:rPr>
        <w:t>La política del sector no consolida la actividad pesquera como uno de los principales elementos de la alimentación, privilegiando el mercado externo sobre el interno; se está lejos de una soberanía alimentaria.</w:t>
      </w:r>
    </w:p>
    <w:p>
      <w:pPr>
        <w:pStyle w:val="ListBullet"/>
      </w:pPr>
      <w:r>
        <w:rPr>
          <w:rFonts w:ascii="Calibri" w:hAnsi="Calibri"/>
          <w:b w:val="0"/>
          <w:i w:val="0"/>
          <w:color w:val="1A2238"/>
          <w:sz w:val="21"/>
        </w:rPr>
        <w:t>La pesca peruana procede mayormente del mar, producto de una pesquería mono propósito que desembarca los mayores volúmenes de recursos pelágicos; no existe política para desarrollar una flota multipropósito orientada a otros recursos, pese a la extraordinaria biodiversidad del mar y la Amazonía y el potencial de acuicultura de peces nativos.</w:t>
      </w:r>
    </w:p>
    <w:p>
      <w:pPr>
        <w:pStyle w:val="ListBullet"/>
      </w:pPr>
      <w:r>
        <w:rPr>
          <w:rFonts w:ascii="Calibri" w:hAnsi="Calibri"/>
          <w:b w:val="0"/>
          <w:i w:val="0"/>
          <w:color w:val="1A2238"/>
          <w:sz w:val="21"/>
        </w:rPr>
        <w:t>El Perú es la principal potencia exportadora de harina y aceite de pescado del mundo, pero persisten pesca ilegal, sobrepesca y evasión de vedas e incluso de cuotas pesqueras; el sistema de cuotas requiere perfeccionamiento ya que permite la concentración de oligopolios.</w:t>
      </w:r>
    </w:p>
    <w:p>
      <w:pPr>
        <w:pStyle w:val="ListBullet"/>
      </w:pPr>
      <w:r>
        <w:rPr>
          <w:rFonts w:ascii="Calibri" w:hAnsi="Calibri"/>
          <w:b w:val="0"/>
          <w:i w:val="0"/>
          <w:color w:val="1A2238"/>
          <w:sz w:val="21"/>
        </w:rPr>
        <w:t>La normativa permite el uso del pescado entero para fabricar harina y aceite, contraviniendo el principio del uso prioritario de los recursos para consumo humano directo y la reducción de residuos para esa industria.</w:t>
      </w:r>
    </w:p>
    <w:p>
      <w:pPr>
        <w:pStyle w:val="ListBullet"/>
      </w:pPr>
      <w:r>
        <w:rPr>
          <w:rFonts w:ascii="Calibri" w:hAnsi="Calibri"/>
          <w:b w:val="0"/>
          <w:i w:val="0"/>
          <w:color w:val="1A2238"/>
          <w:sz w:val="21"/>
        </w:rPr>
        <w:t>No existe una política de Estado coherente para la administración y acuerdos internacionales de las pesquerías trans zonales.</w:t>
      </w:r>
    </w:p>
    <w:p>
      <w:pPr>
        <w:pStyle w:val="ListBullet"/>
      </w:pPr>
      <w:r>
        <w:rPr>
          <w:rFonts w:ascii="Calibri" w:hAnsi="Calibri"/>
          <w:b w:val="0"/>
          <w:i w:val="0"/>
          <w:color w:val="1A2238"/>
          <w:sz w:val="21"/>
        </w:rPr>
        <w:t>No existe una política de Estado orientada a desarrollar mercados para empresas que generen productos de valor agregado en pesca y acuicultura.</w:t>
      </w:r>
    </w:p>
    <w:p>
      <w:pPr>
        <w:pStyle w:val="ListBullet"/>
      </w:pPr>
      <w:r>
        <w:rPr>
          <w:rFonts w:ascii="Calibri" w:hAnsi="Calibri"/>
          <w:b w:val="0"/>
          <w:i w:val="0"/>
          <w:color w:val="1A2238"/>
          <w:sz w:val="21"/>
        </w:rPr>
        <w:t>Los pescadores artesanales carecen de adecuada seguridad y beneficios sociales; alta informalidad, acceso limitado al crédito, escasa tecnología, falta de medios de preservación a bordo, altos sobrecostos por escasez de recursos tradicionales, dependencia de intermediarios para la comercialización e insuficiente valor agregado; no existe sistema de bolsa de productos.</w:t>
      </w:r>
    </w:p>
    <w:p>
      <w:pPr>
        <w:pStyle w:val="ListBullet"/>
      </w:pPr>
      <w:r>
        <w:rPr>
          <w:rFonts w:ascii="Calibri" w:hAnsi="Calibri"/>
          <w:b w:val="0"/>
          <w:i w:val="0"/>
          <w:color w:val="1A2238"/>
          <w:sz w:val="21"/>
        </w:rPr>
        <w:t>La pesquería artesanal tiene acceso ilimitado a los recursos pero ausencia de reglamentos de Ordenamiento Pesquero para casi la totalidad de los recursos objetivo.</w:t>
      </w:r>
    </w:p>
    <w:p>
      <w:pPr>
        <w:pStyle w:val="ListBullet"/>
      </w:pPr>
      <w:r>
        <w:rPr>
          <w:rFonts w:ascii="Calibri" w:hAnsi="Calibri"/>
          <w:b w:val="0"/>
          <w:i w:val="0"/>
          <w:color w:val="1A2238"/>
          <w:sz w:val="21"/>
        </w:rPr>
        <w:t>El sector de la pesca artesanal no tiene el reconocimiento social y productivo que merece, siendo objeto de una política paternalista y sobreprotectora que limita su conversión en empresas; además compite en desigualdad con la actividad industrial por los mismos espacios, recursos y mercados.</w:t>
      </w:r>
    </w:p>
    <w:p>
      <w:pPr>
        <w:pStyle w:val="ListBullet"/>
      </w:pPr>
      <w:r>
        <w:rPr>
          <w:rFonts w:ascii="Calibri" w:hAnsi="Calibri"/>
          <w:b w:val="0"/>
          <w:i w:val="0"/>
          <w:color w:val="1A2238"/>
          <w:sz w:val="21"/>
        </w:rPr>
        <w:t>El ecosistema marino de Humboldt es el de mayor potencial mundial en recursos pelágicos, pero no existen garantías de estabilidad ni permanencia debido a la actividad pesquera del hombre y al cambio climático; en el modelo de gestión prevalecen criterios económicos o políticos partidarios.</w:t>
      </w:r>
    </w:p>
    <w:p>
      <w:pPr>
        <w:pStyle w:val="ListBullet"/>
      </w:pPr>
      <w:r>
        <w:rPr>
          <w:rFonts w:ascii="Calibri" w:hAnsi="Calibri"/>
          <w:b w:val="0"/>
          <w:i w:val="0"/>
          <w:color w:val="1A2238"/>
          <w:sz w:val="21"/>
        </w:rPr>
        <w:t>Gestión fragmentada y sectorialmente organizada: alta desestructuración entre instancias estatales que realizan tareas similares, duplicidad de esfuerzos, bases de datos no compatibles, intereses institucionales antes que los del territorio, reducción de la capacidad de prevenir conflictos y subvaloración de la participación ciudadana.</w:t>
      </w:r>
    </w:p>
    <w:p>
      <w:pPr>
        <w:pStyle w:val="ListBullet"/>
      </w:pPr>
      <w:r>
        <w:rPr>
          <w:rFonts w:ascii="Calibri" w:hAnsi="Calibri"/>
          <w:b w:val="0"/>
          <w:i w:val="0"/>
          <w:color w:val="1A2238"/>
          <w:sz w:val="21"/>
        </w:rPr>
        <w:t>IMARPE e ITP son entidades fundamentales (ordenamiento pesquero basado en información científica y generación de valor agregado/tecnología), pero limitadas por escasos recursos presupuestales y por el sometimiento a la Ley de Contrataciones del Estado y la Ley de Procedimiento Administrativo.</w:t>
      </w:r>
    </w:p>
    <w:p>
      <w:pPr>
        <w:pStyle w:val="ListBullet"/>
      </w:pPr>
      <w:r>
        <w:rPr>
          <w:rFonts w:ascii="Calibri" w:hAnsi="Calibri"/>
          <w:b w:val="0"/>
          <w:i w:val="0"/>
          <w:color w:val="1A2238"/>
          <w:sz w:val="21"/>
        </w:rPr>
        <w:t>La degradación del entorno marino y el uso de los océanos como receptor de desechos podría poner en peligro el desarrollo de la acuicultura marina; la capacidad actual de esfuerzo pesquero de extracción supera los límites de sustentabilidad.</w:t>
      </w:r>
    </w:p>
    <w:p>
      <w:pPr>
        <w:pStyle w:val="ListBullet"/>
      </w:pPr>
      <w:r>
        <w:rPr>
          <w:rFonts w:ascii="Calibri" w:hAnsi="Calibri"/>
          <w:b w:val="0"/>
          <w:i w:val="0"/>
          <w:color w:val="1A2238"/>
          <w:sz w:val="21"/>
        </w:rPr>
        <w:t>El empleo digno y sostenido en extracción está ligado al volumen de captura permisible anual; la promoción de nuevas pesquerías depende de estudios sobre especies objetivo, biomasa, vedas reproductivas y efectos ecosistémicos.</w:t>
      </w:r>
    </w:p>
    <w:p>
      <w:pPr>
        <w:pStyle w:val="ListBullet"/>
      </w:pPr>
      <w:r>
        <w:rPr>
          <w:rFonts w:ascii="Calibri" w:hAnsi="Calibri"/>
          <w:b w:val="0"/>
          <w:i w:val="0"/>
          <w:color w:val="1A2238"/>
          <w:sz w:val="21"/>
        </w:rPr>
        <w:t>Algunos recursos se entregan a los industriales a tasas de derechos de pesca sumamente bajas o gratis; el país no recibe una participación adecuada en términos de recaudación que se traduzca en bienestar y alimentación para el poblador.</w:t>
      </w:r>
    </w:p>
    <w:p>
      <w:pPr>
        <w:pStyle w:val="ListBullet"/>
      </w:pPr>
      <w:r>
        <w:rPr>
          <w:rFonts w:ascii="Calibri" w:hAnsi="Calibri"/>
          <w:b w:val="0"/>
          <w:i w:val="0"/>
          <w:color w:val="1A2238"/>
          <w:sz w:val="21"/>
        </w:rPr>
        <w:t>Desconocimiento del sector compartido por la prensa y la sociedad, lo que genera un vacío de conocimiento aprovechado para manipular información.</w:t>
      </w:r>
    </w:p>
    <w:p>
      <w:pPr>
        <w:pStyle w:val="ListBullet"/>
      </w:pPr>
      <w:r>
        <w:rPr>
          <w:rFonts w:ascii="Calibri" w:hAnsi="Calibri"/>
          <w:b w:val="0"/>
          <w:i w:val="0"/>
          <w:color w:val="1A2238"/>
          <w:sz w:val="21"/>
        </w:rPr>
        <w:t>El sector no cuenta con instalaciones adecuadas para desembarques, mantenimiento de embarcaciones, desembarcaderos y tratamiento de pescado sujetos a estrictas condiciones de higiene supervisadas por la autoridad sanitaria pesquera.</w:t>
      </w:r>
    </w:p>
    <w:p>
      <w:pPr>
        <w:pStyle w:val="ListBullet"/>
      </w:pPr>
      <w:r>
        <w:rPr>
          <w:rFonts w:ascii="Calibri" w:hAnsi="Calibri"/>
          <w:b w:val="0"/>
          <w:i w:val="0"/>
          <w:color w:val="1A2238"/>
          <w:sz w:val="21"/>
        </w:rPr>
        <w:t>Antecedente histórico: políticas erradas en las últimas dos décadas provocaron exceso de pesca por permisos otorgados de forma irregular e indiscriminada y construcción de lanchas cada vez mayores, lo que llevó a la desaparición de recursos como la sardina (asolada hace 8 a 10 años) y a la casi desaparición de la anchoveta en las décadas de los 70 y 80; bajo consumo per cápita de pescado y trabas de ciertos países (principalmente europeos) a la exportación.</w:t>
      </w:r>
    </w:p>
    <w:p>
      <w:r>
        <w:rPr>
          <w:rFonts w:ascii="Calibri" w:hAnsi="Calibri"/>
          <w:b/>
          <w:i w:val="0"/>
          <w:color w:val="D91023"/>
          <w:sz w:val="26"/>
        </w:rPr>
        <w:t>III · Objetivos estratégicos</w:t>
      </w:r>
    </w:p>
    <w:p>
      <w:pPr>
        <w:pStyle w:val="ListBullet"/>
      </w:pPr>
      <w:r>
        <w:rPr>
          <w:rFonts w:ascii="Calibri" w:hAnsi="Calibri"/>
          <w:b w:val="0"/>
          <w:i w:val="0"/>
          <w:color w:val="1A2238"/>
          <w:sz w:val="21"/>
        </w:rPr>
        <w:t>a. Desarrollar en forma sustentable los recursos de extracción.</w:t>
      </w:r>
    </w:p>
    <w:p>
      <w:pPr>
        <w:pStyle w:val="ListBullet"/>
      </w:pPr>
      <w:r>
        <w:rPr>
          <w:rFonts w:ascii="Calibri" w:hAnsi="Calibri"/>
          <w:b w:val="0"/>
          <w:i w:val="0"/>
          <w:color w:val="1A2238"/>
          <w:sz w:val="21"/>
        </w:rPr>
        <w:t>b. Aumentar el valor de los productos de extracción.</w:t>
      </w:r>
    </w:p>
    <w:p>
      <w:pPr>
        <w:pStyle w:val="ListBullet"/>
      </w:pPr>
      <w:r>
        <w:rPr>
          <w:rFonts w:ascii="Calibri" w:hAnsi="Calibri"/>
          <w:b w:val="0"/>
          <w:i w:val="0"/>
          <w:color w:val="1A2238"/>
          <w:sz w:val="21"/>
        </w:rPr>
        <w:t>c. Promover el desarrollo tecnológico y diversificación de la actividad pesquera.</w:t>
      </w:r>
    </w:p>
    <w:p>
      <w:pPr>
        <w:pStyle w:val="ListBullet"/>
      </w:pPr>
      <w:r>
        <w:rPr>
          <w:rFonts w:ascii="Calibri" w:hAnsi="Calibri"/>
          <w:b w:val="0"/>
          <w:i w:val="0"/>
          <w:color w:val="1A2238"/>
          <w:sz w:val="21"/>
        </w:rPr>
        <w:t>d. Fomentar el consumo de recursos hidrobiológicos.</w:t>
      </w:r>
    </w:p>
    <w:p>
      <w:pPr>
        <w:pStyle w:val="ListBullet"/>
      </w:pPr>
      <w:r>
        <w:rPr>
          <w:rFonts w:ascii="Calibri" w:hAnsi="Calibri"/>
          <w:b w:val="0"/>
          <w:i w:val="0"/>
          <w:color w:val="1A2238"/>
          <w:sz w:val="21"/>
        </w:rPr>
        <w:t>e. Incrementar las exportaciones de los productos pesqueros y el acceso a nuevos mercados.</w:t>
      </w:r>
    </w:p>
    <w:p>
      <w:pPr>
        <w:pStyle w:val="ListBullet"/>
      </w:pPr>
      <w:r>
        <w:rPr>
          <w:rFonts w:ascii="Calibri" w:hAnsi="Calibri"/>
          <w:b w:val="0"/>
          <w:i w:val="0"/>
          <w:color w:val="1A2238"/>
          <w:sz w:val="21"/>
        </w:rPr>
        <w:t>f. Lograr un ambiente marino saludable con productos sanos y seguros, preservando el medio ambiente y la biodiversidad.</w:t>
      </w:r>
    </w:p>
    <w:p>
      <w:r>
        <w:rPr>
          <w:rFonts w:ascii="Calibri" w:hAnsi="Calibri"/>
          <w:b/>
          <w:i w:val="0"/>
          <w:color w:val="D91023"/>
          <w:sz w:val="26"/>
        </w:rPr>
        <w:t>IV · Acciones estratégicas</w:t>
      </w:r>
    </w:p>
    <w:p>
      <w:pPr>
        <w:pStyle w:val="ListBullet"/>
      </w:pPr>
      <w:r>
        <w:rPr>
          <w:rFonts w:ascii="Calibri" w:hAnsi="Calibri"/>
          <w:b w:val="0"/>
          <w:i w:val="0"/>
          <w:color w:val="1A2238"/>
          <w:sz w:val="21"/>
        </w:rPr>
        <w:t>Implementar una política que armonice los lineamientos de explotación económica y discriminatoria (artesanal/industrial), favoreciendo la explotación hasta el límite permisible por especie con criterios ecosistémicos que garanticen el aprovechamiento racional y permanente de los recursos marinos.</w:t>
      </w:r>
    </w:p>
    <w:p>
      <w:pPr>
        <w:pStyle w:val="ListBullet"/>
      </w:pPr>
      <w:r>
        <w:rPr>
          <w:rFonts w:ascii="Calibri" w:hAnsi="Calibri"/>
          <w:b w:val="0"/>
          <w:i w:val="0"/>
          <w:color w:val="1A2238"/>
          <w:sz w:val="21"/>
        </w:rPr>
        <w:t>Definir una política con participación formal de los representantes de los diferentes sectores de la actividad pesquera, cuyo objetivo prioritario sea promover la sustentabilidad del uso de los recursos y un reordenamiento de las normas vigentes para hacerlas coherentes, complementarias y más sencillas.</w:t>
      </w:r>
    </w:p>
    <w:p>
      <w:pPr>
        <w:pStyle w:val="ListBullet"/>
      </w:pPr>
      <w:r>
        <w:rPr>
          <w:rFonts w:ascii="Calibri" w:hAnsi="Calibri"/>
          <w:b w:val="0"/>
          <w:i w:val="0"/>
          <w:color w:val="1A2238"/>
          <w:sz w:val="21"/>
        </w:rPr>
        <w:t>Convertir en prácticas de manejo las medidas de conservación (vedas biológicas, cuotas, tallas mínimas, dimensión y característica de los artes de pesca), velando por la conservación, sustentabilidad y equilibrio ecosistémico, el incremento del valor agregado y de plazas laborales estables.</w:t>
      </w:r>
    </w:p>
    <w:p>
      <w:pPr>
        <w:pStyle w:val="ListBullet"/>
      </w:pPr>
      <w:r>
        <w:rPr>
          <w:rFonts w:ascii="Calibri" w:hAnsi="Calibri"/>
          <w:b w:val="0"/>
          <w:i w:val="0"/>
          <w:color w:val="1A2238"/>
          <w:sz w:val="21"/>
        </w:rPr>
        <w:t>Reformar la estructura tributaria del sector.</w:t>
      </w:r>
    </w:p>
    <w:p>
      <w:pPr>
        <w:pStyle w:val="ListBullet"/>
      </w:pPr>
      <w:r>
        <w:rPr>
          <w:rFonts w:ascii="Calibri" w:hAnsi="Calibri"/>
          <w:b w:val="0"/>
          <w:i w:val="0"/>
          <w:color w:val="1A2238"/>
          <w:sz w:val="21"/>
        </w:rPr>
        <w:t>Revisar las tasas establecidas por concepto de derechos de pesca.</w:t>
      </w:r>
    </w:p>
    <w:p>
      <w:pPr>
        <w:pStyle w:val="ListBullet"/>
      </w:pPr>
      <w:r>
        <w:rPr>
          <w:rFonts w:ascii="Calibri" w:hAnsi="Calibri"/>
          <w:b w:val="0"/>
          <w:i w:val="0"/>
          <w:color w:val="1A2238"/>
          <w:sz w:val="21"/>
        </w:rPr>
        <w:t>Establecer medidas precautorias frente al cambio climático y el calentamiento global, proponiendo un plan estratégico para enfrentar esta contingencia.</w:t>
      </w:r>
    </w:p>
    <w:p>
      <w:pPr>
        <w:pStyle w:val="ListBullet"/>
      </w:pPr>
      <w:r>
        <w:rPr>
          <w:rFonts w:ascii="Calibri" w:hAnsi="Calibri"/>
          <w:b w:val="0"/>
          <w:i w:val="0"/>
          <w:color w:val="1A2238"/>
          <w:sz w:val="21"/>
        </w:rPr>
        <w:t>Adoptar la sustentabilidad y la seguridad alimentarias como base del ordenamiento pesquero.</w:t>
      </w:r>
    </w:p>
    <w:p>
      <w:pPr>
        <w:pStyle w:val="ListBullet"/>
      </w:pPr>
      <w:r>
        <w:rPr>
          <w:rFonts w:ascii="Calibri" w:hAnsi="Calibri"/>
          <w:b w:val="0"/>
          <w:i w:val="0"/>
          <w:color w:val="1A2238"/>
          <w:sz w:val="21"/>
        </w:rPr>
        <w:t>Desarrollo de estrategias (OE1): tomar decisiones en base a evidencia científica; usar una estrategia de extracción viable económica y biológicamente; mejorar el marco normativo y hacerlo cumplir; desarrollar una imagen nacional de proveedor confiable con buenas prácticas sanitarias, laborales y ambientales; desarrollar productos de mayor valor agregado.</w:t>
      </w:r>
    </w:p>
    <w:p>
      <w:pPr>
        <w:pStyle w:val="ListBullet"/>
      </w:pPr>
      <w:r>
        <w:rPr>
          <w:rFonts w:ascii="Calibri" w:hAnsi="Calibri"/>
          <w:b w:val="0"/>
          <w:i w:val="0"/>
          <w:color w:val="1A2238"/>
          <w:sz w:val="21"/>
        </w:rPr>
        <w:t>Desarrollo de estrategias (OE2): desarrollar investigación de alto nivel aplicada al caso nacional; fomentar el consumo de productos hidrobiológicos con capacidad de proceso y transporte de alimentos marinos; promover la diversificación hacia la acuicultura marina; simplificar trámites para los nuevos centros productivos.</w:t>
      </w:r>
    </w:p>
    <w:p>
      <w:pPr>
        <w:pStyle w:val="ListBullet"/>
      </w:pPr>
      <w:r>
        <w:rPr>
          <w:rFonts w:ascii="Calibri" w:hAnsi="Calibri"/>
          <w:b w:val="0"/>
          <w:i w:val="0"/>
          <w:color w:val="1A2238"/>
          <w:sz w:val="21"/>
        </w:rPr>
        <w:t>Desarrollo de estrategias (OE3): negociar mejor acceso en tratados y acuerdos de comercio (tarifas y barreras); certificar plantas y procesos; reforzar políticas de autocontrol, calidad y sanidad; promover el desarrollo de las MyPes del sector pesca.</w:t>
      </w:r>
    </w:p>
    <w:p>
      <w:pPr>
        <w:pStyle w:val="ListBullet"/>
      </w:pPr>
      <w:r>
        <w:rPr>
          <w:rFonts w:ascii="Calibri" w:hAnsi="Calibri"/>
          <w:b w:val="0"/>
          <w:i w:val="0"/>
          <w:color w:val="1A2238"/>
          <w:sz w:val="21"/>
        </w:rPr>
        <w:t>Desarrollo de estrategias (OE4): preservar la naturaleza y biodiversidad en equilibrio con otras actividades (acuicultura, pesca deportiva, turismo, transportes); establecer marco de administración que equilibre intereses económicos; ofrecer mejores condiciones ambientales para la acuicultura marina; regular y hacer cumplir las actividades adyacentes a la pesca.</w:t>
      </w:r>
    </w:p>
    <w:p>
      <w:pPr>
        <w:pStyle w:val="ListBullet"/>
      </w:pPr>
      <w:r>
        <w:rPr>
          <w:rFonts w:ascii="Calibri" w:hAnsi="Calibri"/>
          <w:b w:val="0"/>
          <w:i w:val="0"/>
          <w:color w:val="1A2238"/>
          <w:sz w:val="21"/>
        </w:rPr>
        <w:t>Proyectos estratégicos: P1 Refundación del Ministerio de Pesquería como órgano especializado autónomo; P2 Fortalecimiento del IMARPE (infraestructura y recursos humanos); P3 Perfeccionar el sistema de cuotas de pesca; P4 Repotenciar el Instituto Tecnológico Pesquero (ITP); P5 Promover una flota nacional de pesca de altura y multipropósito.</w:t>
      </w:r>
    </w:p>
    <w:p>
      <w:pPr>
        <w:pStyle w:val="ListBullet"/>
      </w:pPr>
      <w:r>
        <w:rPr>
          <w:rFonts w:ascii="Calibri" w:hAnsi="Calibri"/>
          <w:b w:val="0"/>
          <w:i w:val="0"/>
          <w:color w:val="1A2238"/>
          <w:sz w:val="21"/>
        </w:rPr>
        <w:t>Proyectos estratégicos: P6 Fomentar investigación de alto nivel aplicada al caso nacional (CONCYTEC, universidades); P7 Fomentar el consumo nacional de productos hidrobiológicos priorizando el CHD; P8 Promover la diversificación hacia la acuicultura marina; P9 Creación del Instituto Nacional de Acuicultura.</w:t>
      </w:r>
    </w:p>
    <w:p>
      <w:pPr>
        <w:pStyle w:val="ListBullet"/>
      </w:pPr>
      <w:r>
        <w:rPr>
          <w:rFonts w:ascii="Calibri" w:hAnsi="Calibri"/>
          <w:b w:val="0"/>
          <w:i w:val="0"/>
          <w:color w:val="1A2238"/>
          <w:sz w:val="21"/>
        </w:rPr>
        <w:t>Proyectos estratégicos: P10 Reforzamiento y separación de SANIPES del ITP; P11 Negociación de mejor acceso en tratados y acuerdos de comercio y búsqueda de nuevos mercados; P12 Promover el desarrollo de las MYPE del sector pesca (formalización de artesanales, seguridad, beneficios, crédito y tecnología).</w:t>
      </w:r>
    </w:p>
    <w:p>
      <w:pPr>
        <w:pStyle w:val="ListBullet"/>
      </w:pPr>
      <w:r>
        <w:rPr>
          <w:rFonts w:ascii="Calibri" w:hAnsi="Calibri"/>
          <w:b w:val="0"/>
          <w:i w:val="0"/>
          <w:color w:val="1A2238"/>
          <w:sz w:val="21"/>
        </w:rPr>
        <w:t>Proyectos estratégicos: P13 Fortalecer la autoridad de seguimiento, control y vigilancia (creación de policía marítima); P14 Promover la construcción de instalaciones adecuadas para desembarques, mantenimiento de embarcaciones y tratamiento del pescado; P15 Proponer mayores penas y sanciones más severas para empresas que contaminen el mar peruano; P16 Proponer la participación activa del profesional pesquero en la gestión del sector.</w:t>
      </w:r>
    </w:p>
    <w:p>
      <w:r>
        <w:rPr>
          <w:rFonts w:ascii="Calibri" w:hAnsi="Calibri"/>
          <w:b/>
          <w:i w:val="0"/>
          <w:color w:val="D91023"/>
          <w:sz w:val="26"/>
        </w:rPr>
        <w:t>V · Matriz resumen — indicadores: hoy → meta 2050</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1023"/>
          </w:tcPr>
          <w:p>
            <w:r>
              <w:rPr>
                <w:rFonts w:ascii="Calibri" w:hAnsi="Calibri"/>
                <w:b/>
                <w:i w:val="0"/>
                <w:color w:val="FFFFFF"/>
                <w:sz w:val="17"/>
              </w:rPr>
              <w:t>Indicador</w:t>
            </w:r>
          </w:p>
        </w:tc>
        <w:tc>
          <w:tcPr>
            <w:tcW w:type="dxa" w:w="1656"/>
            <w:shd w:fill="D91023"/>
          </w:tcPr>
          <w:p>
            <w:r>
              <w:rPr>
                <w:rFonts w:ascii="Calibri" w:hAnsi="Calibri"/>
                <w:b/>
                <w:i w:val="0"/>
                <w:color w:val="FFFFFF"/>
                <w:sz w:val="17"/>
              </w:rPr>
              <w:t>Hoy</w:t>
            </w:r>
          </w:p>
        </w:tc>
        <w:tc>
          <w:tcPr>
            <w:tcW w:type="dxa" w:w="1656"/>
            <w:shd w:fill="D91023"/>
          </w:tcPr>
          <w:p>
            <w:r>
              <w:rPr>
                <w:rFonts w:ascii="Calibri" w:hAnsi="Calibri"/>
                <w:b/>
                <w:i w:val="0"/>
                <w:color w:val="FFFFFF"/>
                <w:sz w:val="17"/>
              </w:rPr>
              <w:t>Meta 2050</w:t>
            </w:r>
          </w:p>
        </w:tc>
        <w:tc>
          <w:tcPr>
            <w:tcW w:type="dxa" w:w="1656"/>
            <w:shd w:fill="D91023"/>
          </w:tcPr>
          <w:p>
            <w:r>
              <w:rPr>
                <w:rFonts w:ascii="Calibri" w:hAnsi="Calibri"/>
                <w:b/>
                <w:i w:val="0"/>
                <w:color w:val="FFFFFF"/>
                <w:sz w:val="17"/>
              </w:rPr>
              <w:t>Unidad</w:t>
            </w:r>
          </w:p>
        </w:tc>
        <w:tc>
          <w:tcPr>
            <w:tcW w:type="dxa" w:w="1656"/>
            <w:shd w:fill="D91023"/>
          </w:tcPr>
          <w:p>
            <w:r>
              <w:rPr>
                <w:rFonts w:ascii="Calibri" w:hAnsi="Calibri"/>
                <w:b/>
                <w:i w:val="0"/>
                <w:color w:val="FFFFFF"/>
                <w:sz w:val="17"/>
              </w:rPr>
              <w:t>% avance</w:t>
            </w:r>
          </w:p>
        </w:tc>
        <w:tc>
          <w:tcPr>
            <w:tcW w:type="dxa" w:w="1656"/>
            <w:shd w:fill="D91023"/>
          </w:tcPr>
          <w:p>
            <w:r>
              <w:rPr>
                <w:rFonts w:ascii="Calibri" w:hAnsi="Calibri"/>
                <w:b/>
                <w:i w:val="0"/>
                <w:color w:val="FFFFFF"/>
                <w:sz w:val="17"/>
              </w:rPr>
              <w:t>Fuente</w:t>
            </w:r>
          </w:p>
        </w:tc>
      </w:tr>
      <w:tr>
        <w:tc>
          <w:tcPr>
            <w:tcW w:type="dxa" w:w="1656"/>
          </w:tcPr>
          <w:p>
            <w:r>
              <w:rPr>
                <w:rFonts w:ascii="Calibri" w:hAnsi="Calibri"/>
                <w:b/>
                <w:i w:val="0"/>
                <w:color w:val="1A2238"/>
                <w:sz w:val="16"/>
              </w:rPr>
              <w:t>Superficie total del territorio peruano</w:t>
            </w:r>
          </w:p>
        </w:tc>
        <w:tc>
          <w:tcPr>
            <w:tcW w:type="dxa" w:w="1656"/>
          </w:tcPr>
          <w:p>
            <w:r>
              <w:rPr>
                <w:rFonts w:ascii="Calibri" w:hAnsi="Calibri"/>
                <w:b w:val="0"/>
                <w:i w:val="0"/>
                <w:color w:val="1A2238"/>
                <w:sz w:val="16"/>
              </w:rPr>
              <w:t>2 238 566</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Km2</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Informe Comisión Pesca - Plan Perú 2040</w:t>
            </w:r>
          </w:p>
        </w:tc>
      </w:tr>
      <w:tr>
        <w:tc>
          <w:tcPr>
            <w:tcW w:type="dxa" w:w="1656"/>
          </w:tcPr>
          <w:p>
            <w:r>
              <w:rPr>
                <w:rFonts w:ascii="Calibri" w:hAnsi="Calibri"/>
                <w:b/>
                <w:i w:val="0"/>
                <w:color w:val="1A2238"/>
                <w:sz w:val="16"/>
              </w:rPr>
              <w:t>Superficie del mar peruano</w:t>
            </w:r>
          </w:p>
        </w:tc>
        <w:tc>
          <w:tcPr>
            <w:tcW w:type="dxa" w:w="1656"/>
          </w:tcPr>
          <w:p>
            <w:r>
              <w:rPr>
                <w:rFonts w:ascii="Calibri" w:hAnsi="Calibri"/>
                <w:b w:val="0"/>
                <w:i w:val="0"/>
                <w:color w:val="1A2238"/>
                <w:sz w:val="16"/>
              </w:rPr>
              <w:t>927 536</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Km2 (41% del total)</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Informe Comisión Pesca - Plan Perú 2040</w:t>
            </w:r>
          </w:p>
        </w:tc>
      </w:tr>
      <w:tr>
        <w:tc>
          <w:tcPr>
            <w:tcW w:type="dxa" w:w="1656"/>
          </w:tcPr>
          <w:p>
            <w:r>
              <w:rPr>
                <w:rFonts w:ascii="Calibri" w:hAnsi="Calibri"/>
                <w:b/>
                <w:i w:val="0"/>
                <w:color w:val="1A2238"/>
                <w:sz w:val="16"/>
              </w:rPr>
              <w:t>Participación del Perú en la producción mundial de harina de pescado</w:t>
            </w:r>
          </w:p>
        </w:tc>
        <w:tc>
          <w:tcPr>
            <w:tcW w:type="dxa" w:w="1656"/>
          </w:tcPr>
          <w:p>
            <w:r>
              <w:rPr>
                <w:rFonts w:ascii="Calibri" w:hAnsi="Calibri"/>
                <w:b w:val="0"/>
                <w:i w:val="0"/>
                <w:color w:val="1A2238"/>
                <w:sz w:val="16"/>
              </w:rPr>
              <w:t>30</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 (principal productor mundial)</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IFFO - Informe Comisión Pesca</w:t>
            </w:r>
          </w:p>
        </w:tc>
      </w:tr>
      <w:tr>
        <w:tc>
          <w:tcPr>
            <w:tcW w:type="dxa" w:w="1656"/>
          </w:tcPr>
          <w:p>
            <w:r>
              <w:rPr>
                <w:rFonts w:ascii="Calibri" w:hAnsi="Calibri"/>
                <w:b/>
                <w:i w:val="0"/>
                <w:color w:val="1A2238"/>
                <w:sz w:val="16"/>
              </w:rPr>
              <w:t>Desembarques de la pesca peruana (2010)</w:t>
            </w:r>
          </w:p>
        </w:tc>
        <w:tc>
          <w:tcPr>
            <w:tcW w:type="dxa" w:w="1656"/>
          </w:tcPr>
          <w:p>
            <w:r>
              <w:rPr>
                <w:rFonts w:ascii="Calibri" w:hAnsi="Calibri"/>
                <w:b w:val="0"/>
                <w:i w:val="0"/>
                <w:color w:val="1A2238"/>
                <w:sz w:val="16"/>
              </w:rPr>
              <w:t>4 217 300</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toneladas (-39.2% vs 2009)</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Informe Comisión Pesca - Plan Perú 2040</w:t>
            </w:r>
          </w:p>
        </w:tc>
      </w:tr>
      <w:tr>
        <w:tc>
          <w:tcPr>
            <w:tcW w:type="dxa" w:w="1656"/>
          </w:tcPr>
          <w:p>
            <w:r>
              <w:rPr>
                <w:rFonts w:ascii="Calibri" w:hAnsi="Calibri"/>
                <w:b/>
                <w:i w:val="0"/>
                <w:color w:val="1A2238"/>
                <w:sz w:val="16"/>
              </w:rPr>
              <w:t>Exportaciones de la industria pesquera peruana (2010)</w:t>
            </w:r>
          </w:p>
        </w:tc>
        <w:tc>
          <w:tcPr>
            <w:tcW w:type="dxa" w:w="1656"/>
          </w:tcPr>
          <w:p>
            <w:r>
              <w:rPr>
                <w:rFonts w:ascii="Calibri" w:hAnsi="Calibri"/>
                <w:b w:val="0"/>
                <w:i w:val="0"/>
                <w:color w:val="1A2238"/>
                <w:sz w:val="16"/>
              </w:rPr>
              <w:t>2 540.3</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millones de USD (+15.3% vs 2009; tercer sector, 7.24% de aporte)</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Informe Comisión Pesca - Plan Perú 2040</w:t>
            </w:r>
          </w:p>
        </w:tc>
      </w:tr>
      <w:tr>
        <w:tc>
          <w:tcPr>
            <w:tcW w:type="dxa" w:w="1656"/>
          </w:tcPr>
          <w:p>
            <w:r>
              <w:rPr>
                <w:rFonts w:ascii="Calibri" w:hAnsi="Calibri"/>
                <w:b/>
                <w:i w:val="0"/>
                <w:color w:val="1A2238"/>
                <w:sz w:val="16"/>
              </w:rPr>
              <w:t>Desembarque destinado a consumo humano indirecto (harina de pescado)</w:t>
            </w:r>
          </w:p>
        </w:tc>
        <w:tc>
          <w:tcPr>
            <w:tcW w:type="dxa" w:w="1656"/>
          </w:tcPr>
          <w:p>
            <w:r>
              <w:rPr>
                <w:rFonts w:ascii="Calibri" w:hAnsi="Calibri"/>
                <w:b w:val="0"/>
                <w:i w:val="0"/>
                <w:color w:val="1A2238"/>
                <w:sz w:val="16"/>
              </w:rPr>
              <w:t>79</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 del desembarque 2010</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Informe Comisión Pesca - Plan Perú 2040</w:t>
            </w:r>
          </w:p>
        </w:tc>
      </w:tr>
    </w:tbl>
    <w:p>
      <w:r>
        <w:rPr>
          <w:rFonts w:ascii="Calibri" w:hAnsi="Calibri"/>
          <w:b/>
          <w:i w:val="0"/>
          <w:color w:val="D91023"/>
          <w:sz w:val="26"/>
        </w:rPr>
        <w:t>VI · Hitos de los primeros 100 días de Gobierno</w:t>
      </w:r>
    </w:p>
    <w:p>
      <w:pPr>
        <w:pStyle w:val="ListBullet"/>
      </w:pPr>
      <w:r>
        <w:rPr>
          <w:rFonts w:ascii="Calibri" w:hAnsi="Calibri"/>
          <w:b w:val="0"/>
          <w:i w:val="0"/>
          <w:color w:val="1A2238"/>
          <w:sz w:val="21"/>
        </w:rPr>
        <w:t>Refundar el Ministerio de Pesquería.</w:t>
      </w:r>
      <w:r>
        <w:rPr>
          <w:rFonts w:ascii="Calibri" w:hAnsi="Calibri"/>
          <w:b w:val="0"/>
          <w:i/>
          <w:color w:val="B8840E"/>
          <w:sz w:val="17"/>
        </w:rPr>
        <w:t xml:space="preserve">  [Reforma institucional]</w:t>
      </w:r>
    </w:p>
    <w:p>
      <w:pPr>
        <w:pStyle w:val="ListBullet"/>
      </w:pPr>
      <w:r>
        <w:rPr>
          <w:rFonts w:ascii="Calibri" w:hAnsi="Calibri"/>
          <w:b w:val="0"/>
          <w:i w:val="0"/>
          <w:color w:val="1A2238"/>
          <w:sz w:val="21"/>
        </w:rPr>
        <w:t>Creación del Instituto Nacional de Acuicultura.</w:t>
      </w:r>
      <w:r>
        <w:rPr>
          <w:rFonts w:ascii="Calibri" w:hAnsi="Calibri"/>
          <w:b w:val="0"/>
          <w:i/>
          <w:color w:val="B8840E"/>
          <w:sz w:val="17"/>
        </w:rPr>
        <w:t xml:space="preserve">  [Reforma institucional]</w:t>
      </w:r>
    </w:p>
    <w:p>
      <w:pPr>
        <w:pStyle w:val="ListBullet"/>
      </w:pPr>
      <w:r>
        <w:rPr>
          <w:rFonts w:ascii="Calibri" w:hAnsi="Calibri"/>
          <w:b w:val="0"/>
          <w:i w:val="0"/>
          <w:color w:val="1A2238"/>
          <w:sz w:val="21"/>
        </w:rPr>
        <w:t>Fortalecimiento del IMARPE.</w:t>
      </w:r>
      <w:r>
        <w:rPr>
          <w:rFonts w:ascii="Calibri" w:hAnsi="Calibri"/>
          <w:b w:val="0"/>
          <w:i/>
          <w:color w:val="B8840E"/>
          <w:sz w:val="17"/>
        </w:rPr>
        <w:t xml:space="preserve">  [Fortalecimiento institucional]</w:t>
      </w:r>
    </w:p>
    <w:p>
      <w:pPr>
        <w:pStyle w:val="ListBullet"/>
      </w:pPr>
      <w:r>
        <w:rPr>
          <w:rFonts w:ascii="Calibri" w:hAnsi="Calibri"/>
          <w:b w:val="0"/>
          <w:i w:val="0"/>
          <w:color w:val="1A2238"/>
          <w:sz w:val="21"/>
        </w:rPr>
        <w:t>Fortalecer la Autoridad de Seguimiento, Control y Vigilancia del sector.</w:t>
      </w:r>
      <w:r>
        <w:rPr>
          <w:rFonts w:ascii="Calibri" w:hAnsi="Calibri"/>
          <w:b w:val="0"/>
          <w:i/>
          <w:color w:val="B8840E"/>
          <w:sz w:val="17"/>
        </w:rPr>
        <w:t xml:space="preserve">  [Control y vigilancia]</w:t>
      </w:r>
    </w:p>
    <w:p>
      <w:pPr>
        <w:pStyle w:val="ListBullet"/>
      </w:pPr>
      <w:r>
        <w:rPr>
          <w:rFonts w:ascii="Calibri" w:hAnsi="Calibri"/>
          <w:b w:val="0"/>
          <w:i w:val="0"/>
          <w:color w:val="1A2238"/>
          <w:sz w:val="21"/>
        </w:rPr>
        <w:t>Separación y reforzamiento del ITP - SANIPES.</w:t>
      </w:r>
      <w:r>
        <w:rPr>
          <w:rFonts w:ascii="Calibri" w:hAnsi="Calibri"/>
          <w:b w:val="0"/>
          <w:i/>
          <w:color w:val="B8840E"/>
          <w:sz w:val="17"/>
        </w:rPr>
        <w:t xml:space="preserve">  [Reforma institucional]</w:t>
      </w:r>
    </w:p>
    <w:p>
      <w:pPr>
        <w:pStyle w:val="ListBullet"/>
      </w:pPr>
      <w:r>
        <w:rPr>
          <w:rFonts w:ascii="Calibri" w:hAnsi="Calibri"/>
          <w:b w:val="0"/>
          <w:i w:val="0"/>
          <w:color w:val="1A2238"/>
          <w:sz w:val="21"/>
        </w:rPr>
        <w:t>Declarar el quinquenio de la acuicultura en el Perú.</w:t>
      </w:r>
      <w:r>
        <w:rPr>
          <w:rFonts w:ascii="Calibri" w:hAnsi="Calibri"/>
          <w:b w:val="0"/>
          <w:i/>
          <w:color w:val="B8840E"/>
          <w:sz w:val="17"/>
        </w:rPr>
        <w:t xml:space="preserve">  [Declaratoria de política]</w:t>
      </w:r>
    </w:p>
    <w:p>
      <w:pPr>
        <w:pStyle w:val="ListBullet"/>
      </w:pPr>
      <w:r>
        <w:rPr>
          <w:rFonts w:ascii="Calibri" w:hAnsi="Calibri"/>
          <w:b w:val="0"/>
          <w:i w:val="0"/>
          <w:color w:val="1A2238"/>
          <w:sz w:val="21"/>
        </w:rPr>
        <w:t>Integrar el Instituto Antártico al Instituto del Mar del Perú.</w:t>
      </w:r>
      <w:r>
        <w:rPr>
          <w:rFonts w:ascii="Calibri" w:hAnsi="Calibri"/>
          <w:b w:val="0"/>
          <w:i/>
          <w:color w:val="B8840E"/>
          <w:sz w:val="17"/>
        </w:rPr>
        <w:t xml:space="preserve">  [Reforma institucional]</w:t>
      </w:r>
    </w:p>
    <w:p>
      <w:pPr>
        <w:pStyle w:val="ListBullet"/>
      </w:pPr>
      <w:r>
        <w:rPr>
          <w:rFonts w:ascii="Calibri" w:hAnsi="Calibri"/>
          <w:b w:val="0"/>
          <w:i w:val="0"/>
          <w:color w:val="1A2238"/>
          <w:sz w:val="21"/>
        </w:rPr>
        <w:t>Promover la implementación de la flota nacional de pesca de altura.</w:t>
      </w:r>
      <w:r>
        <w:rPr>
          <w:rFonts w:ascii="Calibri" w:hAnsi="Calibri"/>
          <w:b w:val="0"/>
          <w:i/>
          <w:color w:val="B8840E"/>
          <w:sz w:val="17"/>
        </w:rPr>
        <w:t xml:space="preserve">  [Inversión productiva]</w:t>
      </w:r>
    </w:p>
    <w:p>
      <w:pPr>
        <w:pStyle w:val="ListBullet"/>
      </w:pPr>
      <w:r>
        <w:rPr>
          <w:rFonts w:ascii="Calibri" w:hAnsi="Calibri"/>
          <w:b w:val="0"/>
          <w:i w:val="0"/>
          <w:color w:val="1A2238"/>
          <w:sz w:val="21"/>
        </w:rPr>
        <w:t>Dinamizar las acciones del sector en la ejecución de programas sociales orientados a incrementar el consumo de pescado.</w:t>
      </w:r>
      <w:r>
        <w:rPr>
          <w:rFonts w:ascii="Calibri" w:hAnsi="Calibri"/>
          <w:b w:val="0"/>
          <w:i/>
          <w:color w:val="B8840E"/>
          <w:sz w:val="17"/>
        </w:rPr>
        <w:t xml:space="preserve">  [Programa social]</w:t>
      </w:r>
    </w:p>
    <w:p>
      <w:pPr>
        <w:pStyle w:val="ListBullet"/>
      </w:pPr>
      <w:r>
        <w:rPr>
          <w:rFonts w:ascii="Calibri" w:hAnsi="Calibri"/>
          <w:b w:val="0"/>
          <w:i w:val="0"/>
          <w:color w:val="1A2238"/>
          <w:sz w:val="21"/>
        </w:rPr>
        <w:t>Proponer la participación activa del profesional pesquero en la gestión del sector pesquero.</w:t>
      </w:r>
      <w:r>
        <w:rPr>
          <w:rFonts w:ascii="Calibri" w:hAnsi="Calibri"/>
          <w:b w:val="0"/>
          <w:i/>
          <w:color w:val="B8840E"/>
          <w:sz w:val="17"/>
        </w:rPr>
        <w:t xml:space="preserve">  [Gobernanza sectorial]</w:t>
      </w:r>
    </w:p>
    <w:p>
      <w:r>
        <w:rPr>
          <w:rFonts w:ascii="Calibri" w:hAnsi="Calibri"/>
          <w:b/>
          <w:i w:val="0"/>
          <w:color w:val="D91023"/>
          <w:sz w:val="26"/>
        </w:rPr>
        <w:t>Pilares de la estrategia</w:t>
      </w:r>
    </w:p>
    <w:p>
      <w:r>
        <w:rPr>
          <w:rFonts w:ascii="Calibri" w:hAnsi="Calibri"/>
          <w:b/>
          <w:i w:val="0"/>
          <w:color w:val="1A2238"/>
          <w:sz w:val="21"/>
        </w:rPr>
        <w:t xml:space="preserve">Sustentabilidad de los recursos: </w:t>
      </w:r>
      <w:r>
        <w:rPr>
          <w:rFonts w:ascii="Calibri" w:hAnsi="Calibri"/>
          <w:b w:val="0"/>
          <w:i w:val="0"/>
          <w:color w:val="1A2238"/>
          <w:sz w:val="21"/>
        </w:rPr>
        <w:t>Explotación racional y permanente de los recursos pesqueros renovables dentro de los límites de sustentabilidad, con medidas de conservación (vedas, cuotas, tallas mínimas) convertidas en prácticas de manejo y criterios ecosistémicos.</w:t>
      </w:r>
    </w:p>
    <w:p>
      <w:r>
        <w:rPr>
          <w:rFonts w:ascii="Calibri" w:hAnsi="Calibri"/>
          <w:b/>
          <w:i w:val="0"/>
          <w:color w:val="1A2238"/>
          <w:sz w:val="21"/>
        </w:rPr>
        <w:t xml:space="preserve">Valor agregado y diversificación: </w:t>
      </w:r>
      <w:r>
        <w:rPr>
          <w:rFonts w:ascii="Calibri" w:hAnsi="Calibri"/>
          <w:b w:val="0"/>
          <w:i w:val="0"/>
          <w:color w:val="1A2238"/>
          <w:sz w:val="21"/>
        </w:rPr>
        <w:t>Incremento del valor de los productos de extracción, desarrollo tecnológico (ITP), diversificación hacia la acuicultura marina y peces nativos, y desarrollo de las MyPes del sector.</w:t>
      </w:r>
    </w:p>
    <w:p>
      <w:r>
        <w:rPr>
          <w:rFonts w:ascii="Calibri" w:hAnsi="Calibri"/>
          <w:b/>
          <w:i w:val="0"/>
          <w:color w:val="1A2238"/>
          <w:sz w:val="21"/>
        </w:rPr>
        <w:t xml:space="preserve">Seguridad alimentaria y consumo humano directo: </w:t>
      </w:r>
      <w:r>
        <w:rPr>
          <w:rFonts w:ascii="Calibri" w:hAnsi="Calibri"/>
          <w:b w:val="0"/>
          <w:i w:val="0"/>
          <w:color w:val="1A2238"/>
          <w:sz w:val="21"/>
        </w:rPr>
        <w:t>Priorizar el uso de los recursos para el consumo humano directo, reducir residuos para la industria harinera y dinamizar programas sociales que incrementen el consumo de pescado en el país.</w:t>
      </w:r>
    </w:p>
    <w:p>
      <w:r>
        <w:rPr>
          <w:rFonts w:ascii="Calibri" w:hAnsi="Calibri"/>
          <w:b/>
          <w:i w:val="0"/>
          <w:color w:val="1A2238"/>
          <w:sz w:val="21"/>
        </w:rPr>
        <w:t xml:space="preserve">Institucionalidad y gobernanza: </w:t>
      </w:r>
      <w:r>
        <w:rPr>
          <w:rFonts w:ascii="Calibri" w:hAnsi="Calibri"/>
          <w:b w:val="0"/>
          <w:i w:val="0"/>
          <w:color w:val="1A2238"/>
          <w:sz w:val="21"/>
        </w:rPr>
        <w:t>Refundación del Ministerio de Pesquería, fortalecimiento de IMARPE e ITP, creación del Instituto Nacional de Acuicultura, separación de SANIPES, autoridad de seguimiento/control/vigilancia y participación del profesional pesquero.</w:t>
      </w:r>
    </w:p>
    <w:p>
      <w:r>
        <w:rPr>
          <w:rFonts w:ascii="Calibri" w:hAnsi="Calibri"/>
          <w:b/>
          <w:i w:val="0"/>
          <w:color w:val="1A2238"/>
          <w:sz w:val="21"/>
        </w:rPr>
        <w:t xml:space="preserve">Ambiente marino saludable: </w:t>
      </w:r>
      <w:r>
        <w:rPr>
          <w:rFonts w:ascii="Calibri" w:hAnsi="Calibri"/>
          <w:b w:val="0"/>
          <w:i w:val="0"/>
          <w:color w:val="1A2238"/>
          <w:sz w:val="21"/>
        </w:rPr>
        <w:t>Lograr un ambiente marino limpio con productos sanos y seguros, control de la contaminación con penas más severas, medidas precautorias frente al cambio climático y equilibrio con otras actividades adyacentes.</w:t>
      </w:r>
    </w:p>
    <w:p>
      <w:r>
        <w:rPr>
          <w:rFonts w:ascii="Calibri" w:hAnsi="Calibri"/>
          <w:b/>
          <w:i w:val="0"/>
          <w:color w:val="1A2238"/>
          <w:sz w:val="21"/>
        </w:rPr>
        <w:t xml:space="preserve">Acceso a mercados: </w:t>
      </w:r>
      <w:r>
        <w:rPr>
          <w:rFonts w:ascii="Calibri" w:hAnsi="Calibri"/>
          <w:b w:val="0"/>
          <w:i w:val="0"/>
          <w:color w:val="1A2238"/>
          <w:sz w:val="21"/>
        </w:rPr>
        <w:t>Incremento de exportaciones, negociación de mejor acceso en tratados y acuerdos de comercio, certificación de plantas y procesos, y políticas de autocontrol, calidad y sanidad.</w:t>
      </w:r>
    </w:p>
    <w:p>
      <w:r>
        <w:rPr>
          <w:rFonts w:ascii="Calibri" w:hAnsi="Calibri"/>
          <w:b/>
          <w:i w:val="0"/>
          <w:color w:val="D91023"/>
          <w:sz w:val="26"/>
        </w:rPr>
        <w:t>Recomendación de política</w:t>
      </w:r>
    </w:p>
    <w:p>
      <w:r>
        <w:rPr>
          <w:rFonts w:ascii="Calibri" w:hAnsi="Calibri"/>
          <w:b w:val="0"/>
          <w:i w:val="0"/>
          <w:color w:val="1A2238"/>
          <w:sz w:val="21"/>
        </w:rPr>
        <w:t>Urge una visión concertada que busque el desarrollo sustentable del sector, fomentando la explotación responsable de los recursos marinos, un aprovechamiento racional que privilegie el consumo humano directo y la seguridad alimentaria, y la preservación del ecosistema marino de Humboldt. El capital humano es el factor primordial para la implementación y seguimiento de una política basada en la sustentabilidad de los recursos pesqueros y el cuidado de la biodiversidad marina ("Pesca para todos y por siempre").</w:t>
      </w:r>
    </w:p>
    <w:p/>
    <w:p>
      <w:r>
        <w:rPr>
          <w:rFonts w:ascii="Calibri" w:hAnsi="Calibri"/>
          <w:b w:val="0"/>
          <w:i/>
          <w:color w:val="5D6B88"/>
          <w:sz w:val="15"/>
        </w:rPr>
        <w:t>Documento potenciado a partir de la redacción de la comisión. Las cifras provienen del documento fuente y están sujetas a validación oficial. La silueta territorial es referencial.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