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B8840E"/>
          <w:sz w:val="22"/>
        </w:rPr>
        <w:t>PLAN PERÚ 2050</w:t>
      </w:r>
      <w:r>
        <w:br/>
      </w:r>
      <w:r>
        <w:rPr>
          <w:rFonts w:ascii="Calibri" w:hAnsi="Calibri"/>
          <w:b w:val="0"/>
          <w:i w:val="0"/>
          <w:color w:val="5D6B88"/>
          <w:sz w:val="18"/>
        </w:rPr>
        <w:t>Comisiones Temáticas Nacionales · CNPP — Colegio de Ingenieros del Perú</w:t>
      </w:r>
    </w:p>
    <w:p>
      <w:r>
        <w:rPr>
          <w:rFonts w:ascii="Calibri" w:hAnsi="Calibri"/>
          <w:b/>
          <w:i w:val="0"/>
          <w:color w:val="D91023"/>
          <w:sz w:val="48"/>
        </w:rPr>
        <w:t>Plan de los 100 Primeros Días</w:t>
      </w:r>
    </w:p>
    <w:p>
      <w:r>
        <w:rPr>
          <w:rFonts w:ascii="Calibri" w:hAnsi="Calibri"/>
          <w:b w:val="0"/>
          <w:i/>
          <w:color w:val="1A2238"/>
          <w:sz w:val="21"/>
        </w:rPr>
        <w:t>Consolidado de medidas inmediatas propuestas por las comisiones temáticas para los primeros 100 días del próximo gobierno. Extraídas de las redacciones de cada comisión; sujetas a validación oficial.</w:t>
      </w:r>
    </w:p>
    <w:p>
      <w:r>
        <w:rPr>
          <w:rFonts w:ascii="Calibri" w:hAnsi="Calibri"/>
          <w:b/>
          <w:i w:val="0"/>
          <w:color w:val="B8840E"/>
          <w:sz w:val="22"/>
        </w:rPr>
        <w:t>55 medidas · 13 comisiones</w:t>
      </w:r>
    </w:p>
    <w:p/>
    <w:p>
      <w:r>
        <w:rPr>
          <w:rFonts w:ascii="Calibri" w:hAnsi="Calibri"/>
          <w:b/>
          <w:i w:val="0"/>
          <w:color w:val="D91023"/>
          <w:sz w:val="30"/>
        </w:rPr>
        <w:t>Aeroespacial (Aeronáutica y Espacio)</w:t>
      </w:r>
    </w:p>
    <w:p>
      <w:r>
        <w:rPr>
          <w:rFonts w:ascii="Calibri" w:hAnsi="Calibri"/>
          <w:b w:val="0"/>
          <w:i/>
          <w:color w:val="5D6B88"/>
          <w:sz w:val="19"/>
        </w:rPr>
        <w:t>Eje: Soberanía y Defensa</w:t>
      </w:r>
    </w:p>
    <w:p>
      <w:pPr>
        <w:pStyle w:val="ListBullet"/>
      </w:pPr>
      <w:r>
        <w:rPr>
          <w:rFonts w:ascii="Calibri" w:hAnsi="Calibri"/>
          <w:b w:val="0"/>
          <w:i w:val="0"/>
          <w:color w:val="1A2238"/>
          <w:sz w:val="21"/>
        </w:rPr>
        <w:t>Diseñar, redactar y promulgar la Ley de la Agencia Aeroespacial Nacional, solicitando facultades legislativas al Ejecutivo para acelerar su implementación</w:t>
      </w:r>
      <w:r>
        <w:rPr>
          <w:rFonts w:ascii="Calibri" w:hAnsi="Calibri"/>
          <w:b w:val="0"/>
          <w:i/>
          <w:color w:val="B8840E"/>
          <w:sz w:val="17"/>
        </w:rPr>
        <w:t xml:space="preserve">  [ley/decreto]</w:t>
      </w:r>
    </w:p>
    <w:p>
      <w:pPr>
        <w:pStyle w:val="ListBullet"/>
      </w:pPr>
      <w:r>
        <w:rPr>
          <w:rFonts w:ascii="Calibri" w:hAnsi="Calibri"/>
          <w:b w:val="0"/>
          <w:i w:val="0"/>
          <w:color w:val="1A2238"/>
          <w:sz w:val="21"/>
        </w:rPr>
        <w:t>Formular los perfiles de inversión pública para los aeropuertos secundarios (estudios técnicos y de impacto ambiental, liberación de terrenos y estructuración financiera)</w:t>
      </w:r>
      <w:r>
        <w:rPr>
          <w:rFonts w:ascii="Calibri" w:hAnsi="Calibri"/>
          <w:b w:val="0"/>
          <w:i/>
          <w:color w:val="B8840E"/>
          <w:sz w:val="17"/>
        </w:rPr>
        <w:t xml:space="preserve">  [inversión]</w:t>
      </w:r>
    </w:p>
    <w:p/>
    <w:p>
      <w:r>
        <w:rPr>
          <w:rFonts w:ascii="Calibri" w:hAnsi="Calibri"/>
          <w:b/>
          <w:i w:val="0"/>
          <w:color w:val="D91023"/>
          <w:sz w:val="30"/>
        </w:rPr>
        <w:t>Marítimo, Fluvial y Lacustre</w:t>
      </w:r>
    </w:p>
    <w:p>
      <w:r>
        <w:rPr>
          <w:rFonts w:ascii="Calibri" w:hAnsi="Calibri"/>
          <w:b w:val="0"/>
          <w:i/>
          <w:color w:val="5D6B88"/>
          <w:sz w:val="19"/>
        </w:rPr>
        <w:t>Eje: Infraestructura y Conectividad</w:t>
      </w:r>
    </w:p>
    <w:p>
      <w:pPr>
        <w:pStyle w:val="ListBullet"/>
      </w:pPr>
      <w:r>
        <w:rPr>
          <w:rFonts w:ascii="Calibri" w:hAnsi="Calibri"/>
          <w:b w:val="0"/>
          <w:i w:val="0"/>
          <w:color w:val="1A2238"/>
          <w:sz w:val="21"/>
        </w:rPr>
        <w:t>Instalar la Comisión Nacional de Economía Azul mediante Decreto Supremo que la formaliza como equipo de transición, y publicar la Línea Base del Perú frente a indicadores internacionales (Ocean Health Index)</w:t>
      </w:r>
      <w:r>
        <w:rPr>
          <w:rFonts w:ascii="Calibri" w:hAnsi="Calibri"/>
          <w:b w:val="0"/>
          <w:i/>
          <w:color w:val="B8840E"/>
          <w:sz w:val="17"/>
        </w:rPr>
        <w:t xml:space="preserve">  [ley/decreto (Decreto Supremo) e institucional]</w:t>
      </w:r>
    </w:p>
    <w:p>
      <w:pPr>
        <w:pStyle w:val="ListBullet"/>
      </w:pPr>
      <w:r>
        <w:rPr>
          <w:rFonts w:ascii="Calibri" w:hAnsi="Calibri"/>
          <w:b w:val="0"/>
          <w:i w:val="0"/>
          <w:color w:val="1A2238"/>
          <w:sz w:val="21"/>
        </w:rPr>
        <w:t>Iniciar la licitación y formulación de los expedientes técnicos para la modernización portuaria fluvial de los terminales de Iquitos y Pucallpa, con infraestructura resiliente</w:t>
      </w:r>
      <w:r>
        <w:rPr>
          <w:rFonts w:ascii="Calibri" w:hAnsi="Calibri"/>
          <w:b w:val="0"/>
          <w:i/>
          <w:color w:val="B8840E"/>
          <w:sz w:val="17"/>
        </w:rPr>
        <w:t xml:space="preserve">  [inversión]</w:t>
      </w:r>
    </w:p>
    <w:p>
      <w:pPr>
        <w:pStyle w:val="ListBullet"/>
      </w:pPr>
      <w:r>
        <w:rPr>
          <w:rFonts w:ascii="Calibri" w:hAnsi="Calibri"/>
          <w:b w:val="0"/>
          <w:i w:val="0"/>
          <w:color w:val="1A2238"/>
          <w:sz w:val="21"/>
        </w:rPr>
        <w:t>Presentar y remitir al Congreso de la República el Proyecto de Ley de Creación de la Autoridad del Mar como ente civil técnico y autónomo</w:t>
      </w:r>
      <w:r>
        <w:rPr>
          <w:rFonts w:ascii="Calibri" w:hAnsi="Calibri"/>
          <w:b w:val="0"/>
          <w:i/>
          <w:color w:val="B8840E"/>
          <w:sz w:val="17"/>
        </w:rPr>
        <w:t xml:space="preserve">  [ley/decreto (proyecto de ley)]</w:t>
      </w:r>
    </w:p>
    <w:p/>
    <w:p>
      <w:r>
        <w:rPr>
          <w:rFonts w:ascii="Calibri" w:hAnsi="Calibri"/>
          <w:b/>
          <w:i w:val="0"/>
          <w:color w:val="D91023"/>
          <w:sz w:val="30"/>
        </w:rPr>
        <w:t>Perú en la Era Digital</w:t>
      </w:r>
    </w:p>
    <w:p>
      <w:r>
        <w:rPr>
          <w:rFonts w:ascii="Calibri" w:hAnsi="Calibri"/>
          <w:b w:val="0"/>
          <w:i/>
          <w:color w:val="5D6B88"/>
          <w:sz w:val="19"/>
        </w:rPr>
        <w:t>Eje: Infraestructura y Conectividad</w:t>
      </w:r>
    </w:p>
    <w:p>
      <w:pPr>
        <w:pStyle w:val="ListBullet"/>
      </w:pPr>
      <w:r>
        <w:rPr>
          <w:rFonts w:ascii="Calibri" w:hAnsi="Calibri"/>
          <w:b w:val="0"/>
          <w:i w:val="0"/>
          <w:color w:val="1A2238"/>
          <w:sz w:val="21"/>
        </w:rPr>
        <w:t>Crear e instalar la Comisión Multisectorial "Perú en la Era Digital al 2050", espacio de gobernanza de alto nivel con PCM, CEPLAN, MTC, MINEDU, MINSA, PRODUCE, MEF, RENIEC, academia, sector privado y sociedad civil</w:t>
      </w:r>
      <w:r>
        <w:rPr>
          <w:rFonts w:ascii="Calibri" w:hAnsi="Calibri"/>
          <w:b w:val="0"/>
          <w:i/>
          <w:color w:val="B8840E"/>
          <w:sz w:val="17"/>
        </w:rPr>
        <w:t xml:space="preserve">  [institucional]</w:t>
      </w:r>
    </w:p>
    <w:p>
      <w:pPr>
        <w:pStyle w:val="ListBullet"/>
      </w:pPr>
      <w:r>
        <w:rPr>
          <w:rFonts w:ascii="Calibri" w:hAnsi="Calibri"/>
          <w:b w:val="0"/>
          <w:i w:val="0"/>
          <w:color w:val="1A2238"/>
          <w:sz w:val="21"/>
        </w:rPr>
        <w:t>Aprobar una hoja de ruta preliminar de Era Digital 2050 que defina visión, ejes, indicadores, responsabilidades, metas 2030-2040-2050 y cartera de iniciativas estratégicas</w:t>
      </w:r>
      <w:r>
        <w:rPr>
          <w:rFonts w:ascii="Calibri" w:hAnsi="Calibri"/>
          <w:b w:val="0"/>
          <w:i/>
          <w:color w:val="B8840E"/>
          <w:sz w:val="17"/>
        </w:rPr>
        <w:t xml:space="preserve">  [programa]</w:t>
      </w:r>
    </w:p>
    <w:p>
      <w:pPr>
        <w:pStyle w:val="ListBullet"/>
      </w:pPr>
      <w:r>
        <w:rPr>
          <w:rFonts w:ascii="Calibri" w:hAnsi="Calibri"/>
          <w:b w:val="0"/>
          <w:i w:val="0"/>
          <w:color w:val="1A2238"/>
          <w:sz w:val="21"/>
        </w:rPr>
        <w:t>Levantar el mapa nacional de brechas digitales críticas, identificando brechas de conectividad, competencias, servicios públicos, datos, ciberseguridad y adopción digital productiva por región</w:t>
      </w:r>
      <w:r>
        <w:rPr>
          <w:rFonts w:ascii="Calibri" w:hAnsi="Calibri"/>
          <w:b w:val="0"/>
          <w:i/>
          <w:color w:val="B8840E"/>
          <w:sz w:val="17"/>
        </w:rPr>
        <w:t xml:space="preserve">  [institucional]</w:t>
      </w:r>
    </w:p>
    <w:p>
      <w:pPr>
        <w:pStyle w:val="ListBullet"/>
      </w:pPr>
      <w:r>
        <w:rPr>
          <w:rFonts w:ascii="Calibri" w:hAnsi="Calibri"/>
          <w:b w:val="0"/>
          <w:i w:val="0"/>
          <w:color w:val="1A2238"/>
          <w:sz w:val="21"/>
        </w:rPr>
        <w:t>Seleccionar 10 servicios públicos digitales críticos de alto impacto ciudadano para convertirlos en servicios digitales de extremo a extremo</w:t>
      </w:r>
      <w:r>
        <w:rPr>
          <w:rFonts w:ascii="Calibri" w:hAnsi="Calibri"/>
          <w:b w:val="0"/>
          <w:i/>
          <w:color w:val="B8840E"/>
          <w:sz w:val="17"/>
        </w:rPr>
        <w:t xml:space="preserve">  [programa]</w:t>
      </w:r>
    </w:p>
    <w:p>
      <w:pPr>
        <w:pStyle w:val="ListBullet"/>
      </w:pPr>
      <w:r>
        <w:rPr>
          <w:rFonts w:ascii="Calibri" w:hAnsi="Calibri"/>
          <w:b w:val="0"/>
          <w:i w:val="0"/>
          <w:color w:val="1A2238"/>
          <w:sz w:val="21"/>
        </w:rPr>
        <w:t>Lanzar pilotos de alfabetización en IA y ciudadanía digital en colegios, institutos, universidades, centros de empleo y comunidades vulnerables</w:t>
      </w:r>
      <w:r>
        <w:rPr>
          <w:rFonts w:ascii="Calibri" w:hAnsi="Calibri"/>
          <w:b w:val="0"/>
          <w:i/>
          <w:color w:val="B8840E"/>
          <w:sz w:val="17"/>
        </w:rPr>
        <w:t xml:space="preserve">  [programa]</w:t>
      </w:r>
    </w:p>
    <w:p>
      <w:pPr>
        <w:pStyle w:val="ListBullet"/>
      </w:pPr>
      <w:r>
        <w:rPr>
          <w:rFonts w:ascii="Calibri" w:hAnsi="Calibri"/>
          <w:b w:val="0"/>
          <w:i w:val="0"/>
          <w:color w:val="1A2238"/>
          <w:sz w:val="21"/>
        </w:rPr>
        <w:t>Diseñar el Programa Nacional de IA para Problemas Públicos, seleccionando casos de uso en salud, educación, ambiente, seguridad, agricultura, justicia y trámites</w:t>
      </w:r>
      <w:r>
        <w:rPr>
          <w:rFonts w:ascii="Calibri" w:hAnsi="Calibri"/>
          <w:b w:val="0"/>
          <w:i/>
          <w:color w:val="B8840E"/>
          <w:sz w:val="17"/>
        </w:rPr>
        <w:t xml:space="preserve">  [programa]</w:t>
      </w:r>
    </w:p>
    <w:p>
      <w:pPr>
        <w:pStyle w:val="ListBullet"/>
      </w:pPr>
      <w:r>
        <w:rPr>
          <w:rFonts w:ascii="Calibri" w:hAnsi="Calibri"/>
          <w:b w:val="0"/>
          <w:i w:val="0"/>
          <w:color w:val="1A2238"/>
          <w:sz w:val="21"/>
        </w:rPr>
        <w:t>Formular el marco inicial de gobernanza ética de IA y datos, estableciendo principios de transparencia, privacidad, seguridad, no discriminación, auditoría y rendición de cuentas</w:t>
      </w:r>
      <w:r>
        <w:rPr>
          <w:rFonts w:ascii="Calibri" w:hAnsi="Calibri"/>
          <w:b w:val="0"/>
          <w:i/>
          <w:color w:val="B8840E"/>
          <w:sz w:val="17"/>
        </w:rPr>
        <w:t xml:space="preserve">  [regulación]</w:t>
      </w:r>
    </w:p>
    <w:p/>
    <w:p>
      <w:r>
        <w:rPr>
          <w:rFonts w:ascii="Calibri" w:hAnsi="Calibri"/>
          <w:b/>
          <w:i w:val="0"/>
          <w:color w:val="D91023"/>
          <w:sz w:val="30"/>
        </w:rPr>
        <w:t>Ciencia y Tecnología</w:t>
      </w:r>
    </w:p>
    <w:p>
      <w:r>
        <w:rPr>
          <w:rFonts w:ascii="Calibri" w:hAnsi="Calibri"/>
          <w:b w:val="0"/>
          <w:i/>
          <w:color w:val="5D6B88"/>
          <w:sz w:val="19"/>
        </w:rPr>
        <w:t>Eje: Economía del Conocimiento</w:t>
      </w:r>
    </w:p>
    <w:p>
      <w:pPr>
        <w:pStyle w:val="ListBullet"/>
      </w:pPr>
      <w:r>
        <w:rPr>
          <w:rFonts w:ascii="Calibri" w:hAnsi="Calibri"/>
          <w:b w:val="0"/>
          <w:i w:val="0"/>
          <w:color w:val="1A2238"/>
          <w:sz w:val="21"/>
        </w:rPr>
        <w:t>Aprobación de la nueva Ley de Ciencia y Tecnología (basada en el Modelo Japón debidamente actualizado): promulgar de manera urgente una ley general transversal que convierta a la Ciencia y Tecnología en la principal herramienta del Estado, fijando metas ambiciosas (ejemplo: premios Nobel, patentes). Ningún gobierno reciente ha puesto a la ciencia como eje central y esta directriz es indispensable para orientar el resto del presupuesto nacional.</w:t>
      </w:r>
      <w:r>
        <w:rPr>
          <w:rFonts w:ascii="Calibri" w:hAnsi="Calibri"/>
          <w:b w:val="0"/>
          <w:i/>
          <w:color w:val="B8840E"/>
          <w:sz w:val="17"/>
        </w:rPr>
        <w:t xml:space="preserve">  [Regulación]</w:t>
      </w:r>
    </w:p>
    <w:p>
      <w:pPr>
        <w:pStyle w:val="ListBullet"/>
      </w:pPr>
      <w:r>
        <w:rPr>
          <w:rFonts w:ascii="Calibri" w:hAnsi="Calibri"/>
          <w:b w:val="0"/>
          <w:i w:val="0"/>
          <w:color w:val="1A2238"/>
          <w:sz w:val="21"/>
        </w:rPr>
        <w:t>Reestructuración Normativa de la SUNEDU (Cadena de Valor): modificar la ley de educación para que la supervisión de calidad no sea exclusiva del pre y posgrado, sino que se audite toda la cadena 'como una faja industrial', comenzando desde la cuna. Permite iniciar un cambio de paradigma inmediato: priorizar la contratación de docentes e investigadores extranjeros para enseñar a alumnos de posgrado en el Perú (modalidad introducida con éxito en la UNAS de Arequipa y UDEP de Piura en 2008 bajo patrocinio del CONCYTEC).</w:t>
      </w:r>
      <w:r>
        <w:rPr>
          <w:rFonts w:ascii="Calibri" w:hAnsi="Calibri"/>
          <w:b w:val="0"/>
          <w:i/>
          <w:color w:val="B8840E"/>
          <w:sz w:val="17"/>
        </w:rPr>
        <w:t xml:space="preserve">  [Regulación]</w:t>
      </w:r>
    </w:p>
    <w:p>
      <w:pPr>
        <w:pStyle w:val="ListBullet"/>
      </w:pPr>
      <w:r>
        <w:rPr>
          <w:rFonts w:ascii="Calibri" w:hAnsi="Calibri"/>
          <w:b w:val="0"/>
          <w:i w:val="0"/>
          <w:color w:val="1A2238"/>
          <w:sz w:val="21"/>
        </w:rPr>
        <w:t>Presentación de Ley de Restricción Gradual a la Exportación de Materia Prima Cruda: envío al Congreso de la ley que obligue, en plazos definidos, a que los contratos mineros incorporen cuotas de industrialización y fundición local antes de su exportación a mercados de Asia y Europa. El Perú pierde aceleradamente su potencial exportando el 65% de su cobre crudo; esta ley otorga al Estado una poderosa herramienta de negociación (ofrecer infraestructura a cambio de fábricas locales y transferencia tecnológica).</w:t>
      </w:r>
      <w:r>
        <w:rPr>
          <w:rFonts w:ascii="Calibri" w:hAnsi="Calibri"/>
          <w:b w:val="0"/>
          <w:i/>
          <w:color w:val="B8840E"/>
          <w:sz w:val="17"/>
        </w:rPr>
        <w:t xml:space="preserve">  [Regulación]</w:t>
      </w:r>
    </w:p>
    <w:p>
      <w:pPr>
        <w:pStyle w:val="ListBullet"/>
      </w:pPr>
      <w:r>
        <w:rPr>
          <w:rFonts w:ascii="Calibri" w:hAnsi="Calibri"/>
          <w:b w:val="0"/>
          <w:i w:val="0"/>
          <w:color w:val="1A2238"/>
          <w:sz w:val="21"/>
        </w:rPr>
        <w:t>Diagnóstico de deficiencia en la atención a madres gestantes y niños recién nacidos con énfasis en las zonas Amazónicas y Alto Andina.</w:t>
      </w:r>
      <w:r>
        <w:rPr>
          <w:rFonts w:ascii="Calibri" w:hAnsi="Calibri"/>
          <w:b w:val="0"/>
          <w:i/>
          <w:color w:val="B8840E"/>
          <w:sz w:val="17"/>
        </w:rPr>
        <w:t xml:space="preserve">  [Regulación]</w:t>
      </w:r>
    </w:p>
    <w:p>
      <w:pPr>
        <w:pStyle w:val="ListBullet"/>
      </w:pPr>
      <w:r>
        <w:rPr>
          <w:rFonts w:ascii="Calibri" w:hAnsi="Calibri"/>
          <w:b w:val="0"/>
          <w:i w:val="0"/>
          <w:color w:val="1A2238"/>
          <w:sz w:val="21"/>
        </w:rPr>
        <w:t>Reorganización del CONCYTEC: hacia un Ministerio. CONCYTEC se fundó en 1981 (45 años de existencia al 2026) y actualmente depende de la PCM como ente rector de las políticas de CTI. Se propone su reorganización sobre la base del Informe de la Comisión CTI del Plan Perú 2050, convirtiéndolo en un Ministerio de CYT integrado por un Viceministerio de Ciencias (políticas de generación de conocimiento) y un Viceministerio de Tecnología e Innovación Tecnológica (monitoreo, gestión y atención a la demanda de conocimientos para el sector industrial). La clave del éxito radica en tres pilares: a) poder de decisión y presupuesto (porcentaje intangible del PBI para la innovación); b) articulación con el sector productivo; c) continuidad de políticas.</w:t>
      </w:r>
      <w:r>
        <w:rPr>
          <w:rFonts w:ascii="Calibri" w:hAnsi="Calibri"/>
          <w:b w:val="0"/>
          <w:i/>
          <w:color w:val="B8840E"/>
          <w:sz w:val="17"/>
        </w:rPr>
        <w:t xml:space="preserve">  [Regulación]</w:t>
      </w:r>
    </w:p>
    <w:p/>
    <w:p>
      <w:r>
        <w:rPr>
          <w:rFonts w:ascii="Calibri" w:hAnsi="Calibri"/>
          <w:b/>
          <w:i w:val="0"/>
          <w:color w:val="D91023"/>
          <w:sz w:val="30"/>
        </w:rPr>
        <w:t>Medio Ambiente</w:t>
      </w:r>
    </w:p>
    <w:p>
      <w:r>
        <w:rPr>
          <w:rFonts w:ascii="Calibri" w:hAnsi="Calibri"/>
          <w:b w:val="0"/>
          <w:i/>
          <w:color w:val="5D6B88"/>
          <w:sz w:val="19"/>
        </w:rPr>
        <w:t>Eje: Sostenibilidad y Ambiente</w:t>
      </w:r>
    </w:p>
    <w:p>
      <w:pPr>
        <w:pStyle w:val="ListBullet"/>
      </w:pPr>
      <w:r>
        <w:rPr>
          <w:rFonts w:ascii="Calibri" w:hAnsi="Calibri"/>
          <w:b w:val="0"/>
          <w:i w:val="0"/>
          <w:color w:val="1A2238"/>
          <w:sz w:val="21"/>
        </w:rPr>
        <w:t>Constituir la Mesa Tecnica Intersectorial (MINAM, MINJUSDH, OEFA y representantes del Poder Judicial) y redactar el primer borrador del anteproyecto de la Ley de Actividades y Delitos Ambientales Complejos, incluyendo el estatuto legal de los operadores de Nodos Circulares y el marco de incentivos tributarios municipales basados en pesaje digital segregado</w:t>
      </w:r>
      <w:r>
        <w:rPr>
          <w:rFonts w:ascii="Calibri" w:hAnsi="Calibri"/>
          <w:b w:val="0"/>
          <w:i/>
          <w:color w:val="B8840E"/>
          <w:sz w:val="17"/>
        </w:rPr>
        <w:t xml:space="preserve">  [ley/decreto]</w:t>
      </w:r>
    </w:p>
    <w:p>
      <w:pPr>
        <w:pStyle w:val="ListBullet"/>
      </w:pPr>
      <w:r>
        <w:rPr>
          <w:rFonts w:ascii="Calibri" w:hAnsi="Calibri"/>
          <w:b w:val="0"/>
          <w:i w:val="0"/>
          <w:color w:val="1A2238"/>
          <w:sz w:val="21"/>
        </w:rPr>
        <w:t>Formular y aprobar tecnicamente los terminos de referencia (TDR) para los estudios de preinversion del perfil de los primeros tres Nodos Circulares piloto en regiones estrategicas, vinculandolos formalmente al enfoque de Presupuesto por Resultados (PpR) y activando los Codigos Unicos de Inversion (CUI) en Invierte.pe</w:t>
      </w:r>
      <w:r>
        <w:rPr>
          <w:rFonts w:ascii="Calibri" w:hAnsi="Calibri"/>
          <w:b w:val="0"/>
          <w:i/>
          <w:color w:val="B8840E"/>
          <w:sz w:val="17"/>
        </w:rPr>
        <w:t xml:space="preserve">  [inversión]</w:t>
      </w:r>
    </w:p>
    <w:p/>
    <w:p>
      <w:r>
        <w:rPr>
          <w:rFonts w:ascii="Calibri" w:hAnsi="Calibri"/>
          <w:b/>
          <w:i w:val="0"/>
          <w:color w:val="D91023"/>
          <w:sz w:val="30"/>
        </w:rPr>
        <w:t>Telecomunicaciones</w:t>
      </w:r>
    </w:p>
    <w:p>
      <w:r>
        <w:rPr>
          <w:rFonts w:ascii="Calibri" w:hAnsi="Calibri"/>
          <w:b w:val="0"/>
          <w:i/>
          <w:color w:val="5D6B88"/>
          <w:sz w:val="19"/>
        </w:rPr>
        <w:t>Eje: Infraestructura y Conectividad</w:t>
      </w:r>
    </w:p>
    <w:p>
      <w:pPr>
        <w:pStyle w:val="ListBullet"/>
      </w:pPr>
      <w:r>
        <w:rPr>
          <w:rFonts w:ascii="Calibri" w:hAnsi="Calibri"/>
          <w:b w:val="0"/>
          <w:i w:val="0"/>
          <w:color w:val="1A2238"/>
          <w:sz w:val="21"/>
        </w:rPr>
        <w:t>Anunciar el cronograma de ejecucion de tres proyectos de conectividad en zona de selva: Napo-Putumayo, Manseriche y Alto Amazonas-Datem del Maranon (128 mil habitantes, 653 CCPP, 840 entidades publicas y 743 centros digitales de acceso publico WiFi)</w:t>
      </w:r>
      <w:r>
        <w:rPr>
          <w:rFonts w:ascii="Calibri" w:hAnsi="Calibri"/>
          <w:b w:val="0"/>
          <w:i/>
          <w:color w:val="B8840E"/>
          <w:sz w:val="17"/>
        </w:rPr>
        <w:t xml:space="preserve">  [programa/inversion]</w:t>
      </w:r>
    </w:p>
    <w:p>
      <w:pPr>
        <w:pStyle w:val="ListBullet"/>
      </w:pPr>
      <w:r>
        <w:rPr>
          <w:rFonts w:ascii="Calibri" w:hAnsi="Calibri"/>
          <w:b w:val="0"/>
          <w:i w:val="0"/>
          <w:color w:val="1A2238"/>
          <w:sz w:val="21"/>
        </w:rPr>
        <w:t>Anunciar la implementacion del nuevo modelo de negocio para la RDNFO y las Redes Regionales, integrandolas en la RDNFOA (Red Nacional de Fibra Optica Ampliada) con alquiler de capacidades de transporte a tarifa unica por Gigabyte</w:t>
      </w:r>
      <w:r>
        <w:rPr>
          <w:rFonts w:ascii="Calibri" w:hAnsi="Calibri"/>
          <w:b w:val="0"/>
          <w:i/>
          <w:color w:val="B8840E"/>
          <w:sz w:val="17"/>
        </w:rPr>
        <w:t xml:space="preserve">  [institucional/regulacion]</w:t>
      </w:r>
    </w:p>
    <w:p>
      <w:pPr>
        <w:pStyle w:val="ListBullet"/>
      </w:pPr>
      <w:r>
        <w:rPr>
          <w:rFonts w:ascii="Calibri" w:hAnsi="Calibri"/>
          <w:b w:val="0"/>
          <w:i w:val="0"/>
          <w:color w:val="1A2238"/>
          <w:sz w:val="21"/>
        </w:rPr>
        <w:t>Anunciar la implementacion de la REDNACE, red privada del Estado que interconecta todas las entidades de la administracion publica mediante enlaces de banda ancha y tecnologias tipo VPN usando un porcentaje de la capacidad instalada de la RDNFO</w:t>
      </w:r>
      <w:r>
        <w:rPr>
          <w:rFonts w:ascii="Calibri" w:hAnsi="Calibri"/>
          <w:b w:val="0"/>
          <w:i/>
          <w:color w:val="B8840E"/>
          <w:sz w:val="17"/>
        </w:rPr>
        <w:t xml:space="preserve">  [institucional/inversion]</w:t>
      </w:r>
    </w:p>
    <w:p/>
    <w:p>
      <w:r>
        <w:rPr>
          <w:rFonts w:ascii="Calibri" w:hAnsi="Calibri"/>
          <w:b/>
          <w:i w:val="0"/>
          <w:color w:val="D91023"/>
          <w:sz w:val="30"/>
        </w:rPr>
        <w:t>Desarrollo Humano e Industrialización</w:t>
      </w:r>
    </w:p>
    <w:p>
      <w:r>
        <w:rPr>
          <w:rFonts w:ascii="Calibri" w:hAnsi="Calibri"/>
          <w:b w:val="0"/>
          <w:i/>
          <w:color w:val="5D6B88"/>
          <w:sz w:val="19"/>
        </w:rPr>
        <w:t>Eje: Competitividad</w:t>
      </w:r>
    </w:p>
    <w:p>
      <w:pPr>
        <w:pStyle w:val="ListBullet"/>
      </w:pPr>
      <w:r>
        <w:rPr>
          <w:rFonts w:ascii="Calibri" w:hAnsi="Calibri"/>
          <w:b w:val="0"/>
          <w:i w:val="0"/>
          <w:color w:val="1A2238"/>
          <w:sz w:val="21"/>
        </w:rPr>
        <w:t>Convocatoria diplomática para la OPPC: iniciar cumbres bilaterales inmediatas con Chile, Zambia y la R.D. del Congo para la firma del tratado fundacional de la OPPC. El boom de demanda de cobre es temporal (estimado en 20-25 años antes de reemplazos tecnológicos), por lo que se debe actuar de inmediato para asegurar la fuente de financiamiento del plan.</w:t>
      </w:r>
      <w:r>
        <w:rPr>
          <w:rFonts w:ascii="Calibri" w:hAnsi="Calibri"/>
          <w:b w:val="0"/>
          <w:i/>
          <w:color w:val="B8840E"/>
          <w:sz w:val="17"/>
        </w:rPr>
        <w:t xml:space="preserve">  [Orientación]</w:t>
      </w:r>
    </w:p>
    <w:p>
      <w:pPr>
        <w:pStyle w:val="ListBullet"/>
      </w:pPr>
      <w:r>
        <w:rPr>
          <w:rFonts w:ascii="Calibri" w:hAnsi="Calibri"/>
          <w:b w:val="0"/>
          <w:i w:val="0"/>
          <w:color w:val="1A2238"/>
          <w:sz w:val="21"/>
        </w:rPr>
        <w:t>Lanzamiento del Programa Alimentario y de Infraestructura Escolar: asignación del presupuesto inicial (apalancado con el bajo nivel de endeudamiento nacional actual, 33%) para iniciar la alimentación de madres y niños, la construcción de escuelas y la instalación de agua/desagüe. La inversión en capital humano no admite demoras burocráticas porque un niño que nace con desnutrición tendrá daños irreversibles.</w:t>
      </w:r>
      <w:r>
        <w:rPr>
          <w:rFonts w:ascii="Calibri" w:hAnsi="Calibri"/>
          <w:b w:val="0"/>
          <w:i/>
          <w:color w:val="B8840E"/>
          <w:sz w:val="17"/>
        </w:rPr>
        <w:t xml:space="preserve">  [Inversión]</w:t>
      </w:r>
    </w:p>
    <w:p>
      <w:pPr>
        <w:pStyle w:val="ListBullet"/>
      </w:pPr>
      <w:r>
        <w:rPr>
          <w:rFonts w:ascii="Calibri" w:hAnsi="Calibri"/>
          <w:b w:val="0"/>
          <w:i w:val="0"/>
          <w:color w:val="1A2238"/>
          <w:sz w:val="21"/>
        </w:rPr>
        <w:t>Modificación de la Ley de Donaciones Educativas y Fomento Industrial: cambiar la ley de aportes a universidades para que el 10% donado por la empresa privada se deduzca del resultado final del año y no antes del reparto de utilidades de los trabajadores; promulgar directivas que exijan transferencia tecnológica y prohíban compras militares/navales 'llave en mano' al extranjero, asegurando que el gasto público se quede en la economía peruana.</w:t>
      </w:r>
      <w:r>
        <w:rPr>
          <w:rFonts w:ascii="Calibri" w:hAnsi="Calibri"/>
          <w:b w:val="0"/>
          <w:i/>
          <w:color w:val="B8840E"/>
          <w:sz w:val="17"/>
        </w:rPr>
        <w:t xml:space="preserve">  [Regulación]</w:t>
      </w:r>
    </w:p>
    <w:p/>
    <w:p>
      <w:r>
        <w:rPr>
          <w:rFonts w:ascii="Calibri" w:hAnsi="Calibri"/>
          <w:b/>
          <w:i w:val="0"/>
          <w:color w:val="D91023"/>
          <w:sz w:val="30"/>
        </w:rPr>
        <w:t>Comercio Exterior e Inserción en el Mercado Externo</w:t>
      </w:r>
    </w:p>
    <w:p>
      <w:r>
        <w:rPr>
          <w:rFonts w:ascii="Calibri" w:hAnsi="Calibri"/>
          <w:b w:val="0"/>
          <w:i/>
          <w:color w:val="5D6B88"/>
          <w:sz w:val="19"/>
        </w:rPr>
        <w:t>Eje: Competitividad</w:t>
      </w:r>
    </w:p>
    <w:p>
      <w:pPr>
        <w:pStyle w:val="ListBullet"/>
      </w:pPr>
      <w:r>
        <w:rPr>
          <w:rFonts w:ascii="Calibri" w:hAnsi="Calibri"/>
          <w:b w:val="0"/>
          <w:i w:val="0"/>
          <w:color w:val="1A2238"/>
          <w:sz w:val="21"/>
        </w:rPr>
        <w:t>Fomentar la asociatividad en la agroexportación de productos orgánicos: orientar los esfuerzos de las agrupaciones regionales de nichos productores para lograr una oferta exportable sostenida.</w:t>
      </w:r>
      <w:r>
        <w:rPr>
          <w:rFonts w:ascii="Calibri" w:hAnsi="Calibri"/>
          <w:b w:val="0"/>
          <w:i/>
          <w:color w:val="B8840E"/>
          <w:sz w:val="17"/>
        </w:rPr>
        <w:t xml:space="preserve">  [Acción inmediata prioritaria (IGO)]</w:t>
      </w:r>
    </w:p>
    <w:p>
      <w:pPr>
        <w:pStyle w:val="ListBullet"/>
      </w:pPr>
      <w:r>
        <w:rPr>
          <w:rFonts w:ascii="Calibri" w:hAnsi="Calibri"/>
          <w:b w:val="0"/>
          <w:i w:val="0"/>
          <w:color w:val="1A2238"/>
          <w:sz w:val="21"/>
        </w:rPr>
        <w:t>Potenciar la transformación productiva con valor agregado: ubicar los nichos de mercado interesados en productos similares para desarrollar una asociatividad eficaz y atender la demanda de exportación con valor agregado.</w:t>
      </w:r>
      <w:r>
        <w:rPr>
          <w:rFonts w:ascii="Calibri" w:hAnsi="Calibri"/>
          <w:b w:val="0"/>
          <w:i/>
          <w:color w:val="B8840E"/>
          <w:sz w:val="17"/>
        </w:rPr>
        <w:t xml:space="preserve">  [Acción inmediata prioritaria (IGO)]</w:t>
      </w:r>
    </w:p>
    <w:p>
      <w:pPr>
        <w:pStyle w:val="ListBullet"/>
      </w:pPr>
      <w:r>
        <w:rPr>
          <w:rFonts w:ascii="Calibri" w:hAnsi="Calibri"/>
          <w:b w:val="0"/>
          <w:i w:val="0"/>
          <w:color w:val="1A2238"/>
          <w:sz w:val="21"/>
        </w:rPr>
        <w:t>Creación de una organización de Desarrollo de Software para TIC's: reclutamiento de profesionales de alto nivel y experiencia para ejecutar el plan metodológico y la transferencia de conocimientos de tecnologías modernas en el uso de TIC's.</w:t>
      </w:r>
      <w:r>
        <w:rPr>
          <w:rFonts w:ascii="Calibri" w:hAnsi="Calibri"/>
          <w:b w:val="0"/>
          <w:i/>
          <w:color w:val="B8840E"/>
          <w:sz w:val="17"/>
        </w:rPr>
        <w:t xml:space="preserve">  [Acción inmediata prioritaria (IGO)]</w:t>
      </w:r>
    </w:p>
    <w:p/>
    <w:p>
      <w:r>
        <w:rPr>
          <w:rFonts w:ascii="Calibri" w:hAnsi="Calibri"/>
          <w:b/>
          <w:i w:val="0"/>
          <w:color w:val="D91023"/>
          <w:sz w:val="30"/>
        </w:rPr>
        <w:t>Infraestructura y Construcción</w:t>
      </w:r>
    </w:p>
    <w:p>
      <w:r>
        <w:rPr>
          <w:rFonts w:ascii="Calibri" w:hAnsi="Calibri"/>
          <w:b w:val="0"/>
          <w:i/>
          <w:color w:val="5D6B88"/>
          <w:sz w:val="19"/>
        </w:rPr>
        <w:t>Eje: Infraestructura y Conectividad</w:t>
      </w:r>
    </w:p>
    <w:p>
      <w:pPr>
        <w:pStyle w:val="ListBullet"/>
      </w:pPr>
      <w:r>
        <w:rPr>
          <w:rFonts w:ascii="Calibri" w:hAnsi="Calibri"/>
          <w:b w:val="0"/>
          <w:i w:val="0"/>
          <w:color w:val="1A2238"/>
          <w:sz w:val="21"/>
        </w:rPr>
        <w:t>Implementar el Sistema de Planificación de la Infraestructura.</w:t>
      </w:r>
      <w:r>
        <w:rPr>
          <w:rFonts w:ascii="Calibri" w:hAnsi="Calibri"/>
          <w:b w:val="0"/>
          <w:i/>
          <w:color w:val="B8840E"/>
          <w:sz w:val="17"/>
        </w:rPr>
        <w:t xml:space="preserve">  [Gestión / Planificación]</w:t>
      </w:r>
    </w:p>
    <w:p>
      <w:pPr>
        <w:pStyle w:val="ListBullet"/>
      </w:pPr>
      <w:r>
        <w:rPr>
          <w:rFonts w:ascii="Calibri" w:hAnsi="Calibri"/>
          <w:b w:val="0"/>
          <w:i w:val="0"/>
          <w:color w:val="1A2238"/>
          <w:sz w:val="21"/>
        </w:rPr>
        <w:t>Definir la asignación de las competencias sobre la infraestructura entre niveles de gobierno.</w:t>
      </w:r>
      <w:r>
        <w:rPr>
          <w:rFonts w:ascii="Calibri" w:hAnsi="Calibri"/>
          <w:b w:val="0"/>
          <w:i/>
          <w:color w:val="B8840E"/>
          <w:sz w:val="17"/>
        </w:rPr>
        <w:t xml:space="preserve">  [Institucional / Normativo]</w:t>
      </w:r>
    </w:p>
    <w:p>
      <w:pPr>
        <w:pStyle w:val="ListBullet"/>
      </w:pPr>
      <w:r>
        <w:rPr>
          <w:rFonts w:ascii="Calibri" w:hAnsi="Calibri"/>
          <w:b w:val="0"/>
          <w:i w:val="0"/>
          <w:color w:val="1A2238"/>
          <w:sz w:val="21"/>
        </w:rPr>
        <w:t>Incrementar el presupuesto de inversión pública en infraestructura.</w:t>
      </w:r>
      <w:r>
        <w:rPr>
          <w:rFonts w:ascii="Calibri" w:hAnsi="Calibri"/>
          <w:b w:val="0"/>
          <w:i/>
          <w:color w:val="B8840E"/>
          <w:sz w:val="17"/>
        </w:rPr>
        <w:t xml:space="preserve">  [Financiamiento / Presupuesto]</w:t>
      </w:r>
    </w:p>
    <w:p>
      <w:pPr>
        <w:pStyle w:val="ListBullet"/>
      </w:pPr>
      <w:r>
        <w:rPr>
          <w:rFonts w:ascii="Calibri" w:hAnsi="Calibri"/>
          <w:b w:val="0"/>
          <w:i w:val="0"/>
          <w:color w:val="1A2238"/>
          <w:sz w:val="21"/>
        </w:rPr>
        <w:t>Acelerar el proceso de participación de la inversión privada e institucionalizar la gestión de la infraestructura.</w:t>
      </w:r>
      <w:r>
        <w:rPr>
          <w:rFonts w:ascii="Calibri" w:hAnsi="Calibri"/>
          <w:b w:val="0"/>
          <w:i/>
          <w:color w:val="B8840E"/>
          <w:sz w:val="17"/>
        </w:rPr>
        <w:t xml:space="preserve">  [Inversión privada / APP]</w:t>
      </w:r>
    </w:p>
    <w:p/>
    <w:p>
      <w:r>
        <w:rPr>
          <w:rFonts w:ascii="Calibri" w:hAnsi="Calibri"/>
          <w:b/>
          <w:i w:val="0"/>
          <w:color w:val="D91023"/>
          <w:sz w:val="30"/>
        </w:rPr>
        <w:t>Minería</w:t>
      </w:r>
    </w:p>
    <w:p>
      <w:r>
        <w:rPr>
          <w:rFonts w:ascii="Calibri" w:hAnsi="Calibri"/>
          <w:b w:val="0"/>
          <w:i/>
          <w:color w:val="5D6B88"/>
          <w:sz w:val="19"/>
        </w:rPr>
        <w:t>Eje: Competitividad</w:t>
      </w:r>
    </w:p>
    <w:p>
      <w:pPr>
        <w:pStyle w:val="ListBullet"/>
      </w:pPr>
      <w:r>
        <w:rPr>
          <w:rFonts w:ascii="Calibri" w:hAnsi="Calibri"/>
          <w:b w:val="0"/>
          <w:i w:val="0"/>
          <w:color w:val="1A2238"/>
          <w:sz w:val="21"/>
        </w:rPr>
        <w:t>Generar una nueva política que permita concertar de manera racional, informada y democrática al Estado con las poblaciones (comunidades, cooperativas) y quienes llevan a cabo actividades mineras, para evitar cualquier tipo de conflicto.</w:t>
      </w:r>
      <w:r>
        <w:rPr>
          <w:rFonts w:ascii="Calibri" w:hAnsi="Calibri"/>
          <w:b w:val="0"/>
          <w:i/>
          <w:color w:val="B8840E"/>
          <w:sz w:val="17"/>
        </w:rPr>
        <w:t xml:space="preserve">  [Normativo / Diálogo]</w:t>
      </w:r>
    </w:p>
    <w:p>
      <w:pPr>
        <w:pStyle w:val="ListBullet"/>
      </w:pPr>
      <w:r>
        <w:rPr>
          <w:rFonts w:ascii="Calibri" w:hAnsi="Calibri"/>
          <w:b w:val="0"/>
          <w:i w:val="0"/>
          <w:color w:val="1A2238"/>
          <w:sz w:val="21"/>
        </w:rPr>
        <w:t>Impulsar la inversión en investigación e innovación de los procesos tecnológicos mineros, con presencia del entorno empresarial.</w:t>
      </w:r>
      <w:r>
        <w:rPr>
          <w:rFonts w:ascii="Calibri" w:hAnsi="Calibri"/>
          <w:b w:val="0"/>
          <w:i/>
          <w:color w:val="B8840E"/>
          <w:sz w:val="17"/>
        </w:rPr>
        <w:t xml:space="preserve">  [Inversión / I+D]</w:t>
      </w:r>
    </w:p>
    <w:p>
      <w:pPr>
        <w:pStyle w:val="ListBullet"/>
      </w:pPr>
      <w:r>
        <w:rPr>
          <w:rFonts w:ascii="Calibri" w:hAnsi="Calibri"/>
          <w:b w:val="0"/>
          <w:i w:val="0"/>
          <w:color w:val="1A2238"/>
          <w:sz w:val="21"/>
        </w:rPr>
        <w:t>Promover la generación de clústeres en los que convivan extracción, investigación y comunidad para generar mano de obra de mayor calidad y compenetrada con su entorno.</w:t>
      </w:r>
      <w:r>
        <w:rPr>
          <w:rFonts w:ascii="Calibri" w:hAnsi="Calibri"/>
          <w:b w:val="0"/>
          <w:i/>
          <w:color w:val="B8840E"/>
          <w:sz w:val="17"/>
        </w:rPr>
        <w:t xml:space="preserve">  [Articulación / Productivo]</w:t>
      </w:r>
    </w:p>
    <w:p>
      <w:pPr>
        <w:pStyle w:val="ListBullet"/>
      </w:pPr>
      <w:r>
        <w:rPr>
          <w:rFonts w:ascii="Calibri" w:hAnsi="Calibri"/>
          <w:b w:val="0"/>
          <w:i w:val="0"/>
          <w:color w:val="1A2238"/>
          <w:sz w:val="21"/>
        </w:rPr>
        <w:t>Investigar productos con mayor valor agregado que permitan abrir nuevos mercados y generar mayor oferta exportable.</w:t>
      </w:r>
      <w:r>
        <w:rPr>
          <w:rFonts w:ascii="Calibri" w:hAnsi="Calibri"/>
          <w:b w:val="0"/>
          <w:i/>
          <w:color w:val="B8840E"/>
          <w:sz w:val="17"/>
        </w:rPr>
        <w:t xml:space="preserve">  [I+D / Comercio exterior]</w:t>
      </w:r>
    </w:p>
    <w:p/>
    <w:p>
      <w:r>
        <w:rPr>
          <w:rFonts w:ascii="Calibri" w:hAnsi="Calibri"/>
          <w:b/>
          <w:i w:val="0"/>
          <w:color w:val="D91023"/>
          <w:sz w:val="30"/>
        </w:rPr>
        <w:t>MYPE / MIPYMES</w:t>
      </w:r>
    </w:p>
    <w:p>
      <w:r>
        <w:rPr>
          <w:rFonts w:ascii="Calibri" w:hAnsi="Calibri"/>
          <w:b w:val="0"/>
          <w:i/>
          <w:color w:val="5D6B88"/>
          <w:sz w:val="19"/>
        </w:rPr>
        <w:t>Eje: Competitividad</w:t>
      </w:r>
    </w:p>
    <w:p>
      <w:pPr>
        <w:pStyle w:val="ListBullet"/>
      </w:pPr>
      <w:r>
        <w:rPr>
          <w:rFonts w:ascii="Calibri" w:hAnsi="Calibri"/>
          <w:b w:val="0"/>
          <w:i w:val="0"/>
          <w:color w:val="1A2238"/>
          <w:sz w:val="21"/>
        </w:rPr>
        <w:t>Sensibilizar a las MYPE en la importancia de tener un plan de negocios.</w:t>
      </w:r>
      <w:r>
        <w:rPr>
          <w:rFonts w:ascii="Calibri" w:hAnsi="Calibri"/>
          <w:b w:val="0"/>
          <w:i/>
          <w:color w:val="B8840E"/>
          <w:sz w:val="17"/>
        </w:rPr>
        <w:t xml:space="preserve">  [Inmediata]</w:t>
      </w:r>
    </w:p>
    <w:p>
      <w:pPr>
        <w:pStyle w:val="ListBullet"/>
      </w:pPr>
      <w:r>
        <w:rPr>
          <w:rFonts w:ascii="Calibri" w:hAnsi="Calibri"/>
          <w:b w:val="0"/>
          <w:i w:val="0"/>
          <w:color w:val="1A2238"/>
          <w:sz w:val="21"/>
        </w:rPr>
        <w:t>Crear programas de formación en planes de negocio desde las municipalidades y gobiernos regionales.</w:t>
      </w:r>
      <w:r>
        <w:rPr>
          <w:rFonts w:ascii="Calibri" w:hAnsi="Calibri"/>
          <w:b w:val="0"/>
          <w:i/>
          <w:color w:val="B8840E"/>
          <w:sz w:val="17"/>
        </w:rPr>
        <w:t xml:space="preserve">  [Inmediata]</w:t>
      </w:r>
    </w:p>
    <w:p>
      <w:pPr>
        <w:pStyle w:val="ListBullet"/>
      </w:pPr>
      <w:r>
        <w:rPr>
          <w:rFonts w:ascii="Calibri" w:hAnsi="Calibri"/>
          <w:b w:val="0"/>
          <w:i w:val="0"/>
          <w:color w:val="1A2238"/>
          <w:sz w:val="21"/>
        </w:rPr>
        <w:t>Creación de programas y convenios de interacción dinámica entre universidades (egresados experimentados, estudiantes y profesores) y gremios empresariales, impulsados por los gobiernos regionales.</w:t>
      </w:r>
      <w:r>
        <w:rPr>
          <w:rFonts w:ascii="Calibri" w:hAnsi="Calibri"/>
          <w:b w:val="0"/>
          <w:i/>
          <w:color w:val="B8840E"/>
          <w:sz w:val="17"/>
        </w:rPr>
        <w:t xml:space="preserve">  [Inmediata]</w:t>
      </w:r>
    </w:p>
    <w:p>
      <w:pPr>
        <w:pStyle w:val="ListBullet"/>
      </w:pPr>
      <w:r>
        <w:rPr>
          <w:rFonts w:ascii="Calibri" w:hAnsi="Calibri"/>
          <w:b w:val="0"/>
          <w:i w:val="0"/>
          <w:color w:val="1A2238"/>
          <w:sz w:val="21"/>
        </w:rPr>
        <w:t>Creación de incubadoras de empresa en las universidades e institutos tecnológicos estatales.</w:t>
      </w:r>
      <w:r>
        <w:rPr>
          <w:rFonts w:ascii="Calibri" w:hAnsi="Calibri"/>
          <w:b w:val="0"/>
          <w:i/>
          <w:color w:val="B8840E"/>
          <w:sz w:val="17"/>
        </w:rPr>
        <w:t xml:space="preserve">  [Inmediata]</w:t>
      </w:r>
    </w:p>
    <w:p>
      <w:pPr>
        <w:pStyle w:val="ListBullet"/>
      </w:pPr>
      <w:r>
        <w:rPr>
          <w:rFonts w:ascii="Calibri" w:hAnsi="Calibri"/>
          <w:b w:val="0"/>
          <w:i w:val="0"/>
          <w:color w:val="1A2238"/>
          <w:sz w:val="21"/>
        </w:rPr>
        <w:t>Crear programas de profesionalización para empresarios.</w:t>
      </w:r>
      <w:r>
        <w:rPr>
          <w:rFonts w:ascii="Calibri" w:hAnsi="Calibri"/>
          <w:b w:val="0"/>
          <w:i/>
          <w:color w:val="B8840E"/>
          <w:sz w:val="17"/>
        </w:rPr>
        <w:t xml:space="preserve">  [Inmediata]</w:t>
      </w:r>
    </w:p>
    <w:p/>
    <w:p>
      <w:r>
        <w:rPr>
          <w:rFonts w:ascii="Calibri" w:hAnsi="Calibri"/>
          <w:b/>
          <w:i w:val="0"/>
          <w:color w:val="D91023"/>
          <w:sz w:val="30"/>
        </w:rPr>
        <w:t>Pesca</w:t>
      </w:r>
    </w:p>
    <w:p>
      <w:r>
        <w:rPr>
          <w:rFonts w:ascii="Calibri" w:hAnsi="Calibri"/>
          <w:b w:val="0"/>
          <w:i/>
          <w:color w:val="5D6B88"/>
          <w:sz w:val="19"/>
        </w:rPr>
        <w:t>Eje: Sostenibilidad y Ambiente</w:t>
      </w:r>
    </w:p>
    <w:p>
      <w:pPr>
        <w:pStyle w:val="ListBullet"/>
      </w:pPr>
      <w:r>
        <w:rPr>
          <w:rFonts w:ascii="Calibri" w:hAnsi="Calibri"/>
          <w:b w:val="0"/>
          <w:i w:val="0"/>
          <w:color w:val="1A2238"/>
          <w:sz w:val="21"/>
        </w:rPr>
        <w:t>Refundar el Ministerio de Pesquería.</w:t>
      </w:r>
      <w:r>
        <w:rPr>
          <w:rFonts w:ascii="Calibri" w:hAnsi="Calibri"/>
          <w:b w:val="0"/>
          <w:i/>
          <w:color w:val="B8840E"/>
          <w:sz w:val="17"/>
        </w:rPr>
        <w:t xml:space="preserve">  [Reforma institucional]</w:t>
      </w:r>
    </w:p>
    <w:p>
      <w:pPr>
        <w:pStyle w:val="ListBullet"/>
      </w:pPr>
      <w:r>
        <w:rPr>
          <w:rFonts w:ascii="Calibri" w:hAnsi="Calibri"/>
          <w:b w:val="0"/>
          <w:i w:val="0"/>
          <w:color w:val="1A2238"/>
          <w:sz w:val="21"/>
        </w:rPr>
        <w:t>Creación del Instituto Nacional de Acuicultura.</w:t>
      </w:r>
      <w:r>
        <w:rPr>
          <w:rFonts w:ascii="Calibri" w:hAnsi="Calibri"/>
          <w:b w:val="0"/>
          <w:i/>
          <w:color w:val="B8840E"/>
          <w:sz w:val="17"/>
        </w:rPr>
        <w:t xml:space="preserve">  [Reforma institucional]</w:t>
      </w:r>
    </w:p>
    <w:p>
      <w:pPr>
        <w:pStyle w:val="ListBullet"/>
      </w:pPr>
      <w:r>
        <w:rPr>
          <w:rFonts w:ascii="Calibri" w:hAnsi="Calibri"/>
          <w:b w:val="0"/>
          <w:i w:val="0"/>
          <w:color w:val="1A2238"/>
          <w:sz w:val="21"/>
        </w:rPr>
        <w:t>Fortalecimiento del IMARPE.</w:t>
      </w:r>
      <w:r>
        <w:rPr>
          <w:rFonts w:ascii="Calibri" w:hAnsi="Calibri"/>
          <w:b w:val="0"/>
          <w:i/>
          <w:color w:val="B8840E"/>
          <w:sz w:val="17"/>
        </w:rPr>
        <w:t xml:space="preserve">  [Fortalecimiento institucional]</w:t>
      </w:r>
    </w:p>
    <w:p>
      <w:pPr>
        <w:pStyle w:val="ListBullet"/>
      </w:pPr>
      <w:r>
        <w:rPr>
          <w:rFonts w:ascii="Calibri" w:hAnsi="Calibri"/>
          <w:b w:val="0"/>
          <w:i w:val="0"/>
          <w:color w:val="1A2238"/>
          <w:sz w:val="21"/>
        </w:rPr>
        <w:t>Fortalecer la Autoridad de Seguimiento, Control y Vigilancia del sector.</w:t>
      </w:r>
      <w:r>
        <w:rPr>
          <w:rFonts w:ascii="Calibri" w:hAnsi="Calibri"/>
          <w:b w:val="0"/>
          <w:i/>
          <w:color w:val="B8840E"/>
          <w:sz w:val="17"/>
        </w:rPr>
        <w:t xml:space="preserve">  [Control y vigilancia]</w:t>
      </w:r>
    </w:p>
    <w:p>
      <w:pPr>
        <w:pStyle w:val="ListBullet"/>
      </w:pPr>
      <w:r>
        <w:rPr>
          <w:rFonts w:ascii="Calibri" w:hAnsi="Calibri"/>
          <w:b w:val="0"/>
          <w:i w:val="0"/>
          <w:color w:val="1A2238"/>
          <w:sz w:val="21"/>
        </w:rPr>
        <w:t>Separación y reforzamiento del ITP - SANIPES.</w:t>
      </w:r>
      <w:r>
        <w:rPr>
          <w:rFonts w:ascii="Calibri" w:hAnsi="Calibri"/>
          <w:b w:val="0"/>
          <w:i/>
          <w:color w:val="B8840E"/>
          <w:sz w:val="17"/>
        </w:rPr>
        <w:t xml:space="preserve">  [Reforma institucional]</w:t>
      </w:r>
    </w:p>
    <w:p>
      <w:pPr>
        <w:pStyle w:val="ListBullet"/>
      </w:pPr>
      <w:r>
        <w:rPr>
          <w:rFonts w:ascii="Calibri" w:hAnsi="Calibri"/>
          <w:b w:val="0"/>
          <w:i w:val="0"/>
          <w:color w:val="1A2238"/>
          <w:sz w:val="21"/>
        </w:rPr>
        <w:t>Declarar el quinquenio de la acuicultura en el Perú.</w:t>
      </w:r>
      <w:r>
        <w:rPr>
          <w:rFonts w:ascii="Calibri" w:hAnsi="Calibri"/>
          <w:b w:val="0"/>
          <w:i/>
          <w:color w:val="B8840E"/>
          <w:sz w:val="17"/>
        </w:rPr>
        <w:t xml:space="preserve">  [Declaratoria de política]</w:t>
      </w:r>
    </w:p>
    <w:p>
      <w:pPr>
        <w:pStyle w:val="ListBullet"/>
      </w:pPr>
      <w:r>
        <w:rPr>
          <w:rFonts w:ascii="Calibri" w:hAnsi="Calibri"/>
          <w:b w:val="0"/>
          <w:i w:val="0"/>
          <w:color w:val="1A2238"/>
          <w:sz w:val="21"/>
        </w:rPr>
        <w:t>Integrar el Instituto Antártico al Instituto del Mar del Perú.</w:t>
      </w:r>
      <w:r>
        <w:rPr>
          <w:rFonts w:ascii="Calibri" w:hAnsi="Calibri"/>
          <w:b w:val="0"/>
          <w:i/>
          <w:color w:val="B8840E"/>
          <w:sz w:val="17"/>
        </w:rPr>
        <w:t xml:space="preserve">  [Reforma institucional]</w:t>
      </w:r>
    </w:p>
    <w:p>
      <w:pPr>
        <w:pStyle w:val="ListBullet"/>
      </w:pPr>
      <w:r>
        <w:rPr>
          <w:rFonts w:ascii="Calibri" w:hAnsi="Calibri"/>
          <w:b w:val="0"/>
          <w:i w:val="0"/>
          <w:color w:val="1A2238"/>
          <w:sz w:val="21"/>
        </w:rPr>
        <w:t>Promover la implementación de la flota nacional de pesca de altura.</w:t>
      </w:r>
      <w:r>
        <w:rPr>
          <w:rFonts w:ascii="Calibri" w:hAnsi="Calibri"/>
          <w:b w:val="0"/>
          <w:i/>
          <w:color w:val="B8840E"/>
          <w:sz w:val="17"/>
        </w:rPr>
        <w:t xml:space="preserve">  [Inversión productiva]</w:t>
      </w:r>
    </w:p>
    <w:p>
      <w:pPr>
        <w:pStyle w:val="ListBullet"/>
      </w:pPr>
      <w:r>
        <w:rPr>
          <w:rFonts w:ascii="Calibri" w:hAnsi="Calibri"/>
          <w:b w:val="0"/>
          <w:i w:val="0"/>
          <w:color w:val="1A2238"/>
          <w:sz w:val="21"/>
        </w:rPr>
        <w:t>Dinamizar las acciones del sector en la ejecución de programas sociales orientados a incrementar el consumo de pescado.</w:t>
      </w:r>
      <w:r>
        <w:rPr>
          <w:rFonts w:ascii="Calibri" w:hAnsi="Calibri"/>
          <w:b w:val="0"/>
          <w:i/>
          <w:color w:val="B8840E"/>
          <w:sz w:val="17"/>
        </w:rPr>
        <w:t xml:space="preserve">  [Programa social]</w:t>
      </w:r>
    </w:p>
    <w:p>
      <w:pPr>
        <w:pStyle w:val="ListBullet"/>
      </w:pPr>
      <w:r>
        <w:rPr>
          <w:rFonts w:ascii="Calibri" w:hAnsi="Calibri"/>
          <w:b w:val="0"/>
          <w:i w:val="0"/>
          <w:color w:val="1A2238"/>
          <w:sz w:val="21"/>
        </w:rPr>
        <w:t>Proponer la participación activa del profesional pesquero en la gestión del sector pesquero.</w:t>
      </w:r>
      <w:r>
        <w:rPr>
          <w:rFonts w:ascii="Calibri" w:hAnsi="Calibri"/>
          <w:b w:val="0"/>
          <w:i/>
          <w:color w:val="B8840E"/>
          <w:sz w:val="17"/>
        </w:rPr>
        <w:t xml:space="preserve">  [Gobernanza sectorial]</w:t>
      </w:r>
    </w:p>
    <w:p/>
    <w:p>
      <w:r>
        <w:rPr>
          <w:rFonts w:ascii="Calibri" w:hAnsi="Calibri"/>
          <w:b/>
          <w:i w:val="0"/>
          <w:color w:val="D91023"/>
          <w:sz w:val="30"/>
        </w:rPr>
        <w:t>Orden Público y Seguridad</w:t>
      </w:r>
    </w:p>
    <w:p>
      <w:r>
        <w:rPr>
          <w:rFonts w:ascii="Calibri" w:hAnsi="Calibri"/>
          <w:b w:val="0"/>
          <w:i/>
          <w:color w:val="5D6B88"/>
          <w:sz w:val="19"/>
        </w:rPr>
        <w:t>Eje: Soberanía y Defensa</w:t>
      </w:r>
    </w:p>
    <w:p>
      <w:pPr>
        <w:pStyle w:val="ListBullet"/>
      </w:pPr>
      <w:r>
        <w:rPr>
          <w:rFonts w:ascii="Calibri" w:hAnsi="Calibri"/>
          <w:b w:val="0"/>
          <w:i w:val="0"/>
          <w:color w:val="1A2238"/>
          <w:sz w:val="21"/>
        </w:rPr>
        <w:t>Reducción significativa de delitos en zonas críticas (impacto esperado de corto plazo al 2030).</w:t>
      </w:r>
      <w:r>
        <w:rPr>
          <w:rFonts w:ascii="Calibri" w:hAnsi="Calibri"/>
          <w:b w:val="0"/>
          <w:i/>
          <w:color w:val="B8840E"/>
          <w:sz w:val="17"/>
        </w:rPr>
        <w:t xml:space="preserve">  [Resultado de corto plazo]</w:t>
      </w:r>
    </w:p>
    <w:p>
      <w:pPr>
        <w:pStyle w:val="ListBullet"/>
      </w:pPr>
      <w:r>
        <w:rPr>
          <w:rFonts w:ascii="Calibri" w:hAnsi="Calibri"/>
          <w:b w:val="0"/>
          <w:i w:val="0"/>
          <w:color w:val="1A2238"/>
          <w:sz w:val="21"/>
        </w:rPr>
        <w:t>Mayor presencia y control territorial del Estado (impacto esperado de corto plazo al 2030).</w:t>
      </w:r>
      <w:r>
        <w:rPr>
          <w:rFonts w:ascii="Calibri" w:hAnsi="Calibri"/>
          <w:b w:val="0"/>
          <w:i/>
          <w:color w:val="B8840E"/>
          <w:sz w:val="17"/>
        </w:rPr>
        <w:t xml:space="preserve">  [Resultado de corto plazo]</w:t>
      </w:r>
    </w:p>
    <w:p>
      <w:pPr>
        <w:pStyle w:val="ListBullet"/>
      </w:pPr>
      <w:r>
        <w:rPr>
          <w:rFonts w:ascii="Calibri" w:hAnsi="Calibri"/>
          <w:b w:val="0"/>
          <w:i w:val="0"/>
          <w:color w:val="1A2238"/>
          <w:sz w:val="21"/>
        </w:rPr>
        <w:t>Conformación de la Comisión Nacional de Seguridad y Orden Interno 2050 como órgano técnico, estratégico y multisectorial para conducir la formulación, validación y seguimiento del plan.</w:t>
      </w:r>
      <w:r>
        <w:rPr>
          <w:rFonts w:ascii="Calibri" w:hAnsi="Calibri"/>
          <w:b w:val="0"/>
          <w:i/>
          <w:color w:val="B8840E"/>
          <w:sz w:val="17"/>
        </w:rPr>
        <w:t xml:space="preserve">  [Arreglo institucional]</w:t>
      </w:r>
    </w:p>
    <w:p>
      <w:pPr>
        <w:pStyle w:val="ListBullet"/>
      </w:pPr>
      <w:r>
        <w:rPr>
          <w:rFonts w:ascii="Calibri" w:hAnsi="Calibri"/>
          <w:b w:val="0"/>
          <w:i w:val="0"/>
          <w:color w:val="1A2238"/>
          <w:sz w:val="21"/>
        </w:rPr>
        <w:t>Creación del Fondo Nacional Estratégico de Seguridad y Orden Interno (FONASEG) a través del Ministerio de Economía y Finanzas para financiar modernización policial, inteligencia estratégica, ciberseguridad e infraestructura crítica.</w:t>
      </w:r>
      <w:r>
        <w:rPr>
          <w:rFonts w:ascii="Calibri" w:hAnsi="Calibri"/>
          <w:b w:val="0"/>
          <w:i/>
          <w:color w:val="B8840E"/>
          <w:sz w:val="17"/>
        </w:rPr>
        <w:t xml:space="preserve">  [Financiamiento]</w:t>
      </w:r>
    </w:p>
    <w:p/>
    <w:p>
      <w:r>
        <w:rPr>
          <w:rFonts w:ascii="Calibri" w:hAnsi="Calibri"/>
          <w:b w:val="0"/>
          <w:i/>
          <w:color w:val="5D6B88"/>
          <w:sz w:val="16"/>
        </w:rPr>
        <w:t>Documento generado a partir del dashboard del Plan Perú 2050. unimauro.github.io/plan-peru-2050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