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i w:val="0"/>
          <w:color w:val="B8840E"/>
          <w:sz w:val="22"/>
        </w:rPr>
        <w:t>PLAN PERÚ 2050</w:t>
      </w:r>
      <w:r>
        <w:br/>
      </w:r>
      <w:r>
        <w:rPr>
          <w:rFonts w:ascii="Calibri" w:hAnsi="Calibri"/>
          <w:b w:val="0"/>
          <w:i w:val="0"/>
          <w:color w:val="5D6B88"/>
          <w:sz w:val="18"/>
        </w:rPr>
        <w:t>Comisión Temática Nacional · CNPP — Colegio de Ingenieros del Perú</w:t>
      </w:r>
    </w:p>
    <w:p>
      <w:r>
        <w:rPr>
          <w:rFonts w:ascii="Calibri" w:hAnsi="Calibri"/>
          <w:b/>
          <w:i w:val="0"/>
          <w:color w:val="D91023"/>
          <w:sz w:val="48"/>
        </w:rPr>
        <w:t>Reforma del Estado</w:t>
      </w:r>
    </w:p>
    <w:p>
      <w:r>
        <w:rPr>
          <w:rFonts w:ascii="Calibri" w:hAnsi="Calibri"/>
          <w:b w:val="0"/>
          <w:i/>
          <w:color w:val="5D6B88"/>
          <w:sz w:val="21"/>
        </w:rPr>
        <w:t>Eje estratégico: Competitividad</w:t>
      </w:r>
    </w:p>
    <w:p>
      <w:r>
        <w:rPr>
          <w:rFonts w:ascii="Calibri" w:hAnsi="Calibri"/>
          <w:b w:val="0"/>
          <w:i w:val="0"/>
          <w:color w:val="1A2238"/>
          <w:sz w:val="23"/>
        </w:rPr>
        <w:t>Informe de la Comisión "Reforma del Estado" del Plan Perú (CNPP / Colegio de Ingenieros del Perú), que plantea transformar integralmente el aparato público en sus tres niveles de gobierno, el Congreso, los sistemas de administración de justicia, control y electoral, para una gestión eficaz, eficiente, transparente y orientada al servicio de la población, reduciendo drásticamente la corrupción. El documento se enmarca en el Cuarto Objetivo del Acuerdo Nacional (Estado eficiente, transparente y descentralizado).</w:t>
      </w:r>
    </w:p>
    <w:p>
      <w:r>
        <w:rPr>
          <w:rFonts w:ascii="Calibri" w:hAnsi="Calibri"/>
          <w:b/>
          <w:i w:val="0"/>
          <w:color w:val="D91023"/>
          <w:sz w:val="26"/>
        </w:rPr>
        <w:t>Síntesis cuantitativa</w:t>
      </w:r>
    </w:p>
    <w:tbl>
      <w:tblPr>
        <w:tblW w:type="auto" w:w="0"/>
        <w:jc w:val="center"/>
        <w:tblLook w:firstColumn="1" w:firstRow="1" w:lastColumn="0" w:lastRow="0" w:noHBand="0" w:noVBand="1" w:val="04A0"/>
      </w:tblPr>
      <w:tblGrid>
        <w:gridCol w:w="2484"/>
        <w:gridCol w:w="2484"/>
        <w:gridCol w:w="2484"/>
        <w:gridCol w:w="2484"/>
      </w:tblGrid>
      <w:tr>
        <w:tc>
          <w:tcPr>
            <w:tcW w:type="dxa" w:w="2484"/>
            <w:shd w:fill="F4F6FB"/>
          </w:tcPr>
          <w:p>
            <w:pPr>
              <w:jc w:val="center"/>
            </w:pPr>
            <w:r>
              <w:rPr>
                <w:rFonts w:ascii="Calibri" w:hAnsi="Calibri"/>
                <w:b/>
                <w:i w:val="0"/>
                <w:color w:val="D91023"/>
                <w:sz w:val="36"/>
              </w:rPr>
              <w:t>2</w:t>
              <w:br/>
            </w:r>
            <w:r>
              <w:rPr>
                <w:rFonts w:ascii="Calibri" w:hAnsi="Calibri"/>
                <w:b w:val="0"/>
                <w:i w:val="0"/>
                <w:color w:val="5D6B88"/>
                <w:sz w:val="17"/>
              </w:rPr>
              <w:t>Indicadores</w:t>
            </w:r>
          </w:p>
        </w:tc>
        <w:tc>
          <w:tcPr>
            <w:tcW w:type="dxa" w:w="2484"/>
            <w:shd w:fill="F4F6FB"/>
          </w:tcPr>
          <w:p>
            <w:pPr>
              <w:jc w:val="center"/>
            </w:pPr>
            <w:r>
              <w:rPr>
                <w:rFonts w:ascii="Calibri" w:hAnsi="Calibri"/>
                <w:b/>
                <w:i w:val="0"/>
                <w:color w:val="D91023"/>
                <w:sz w:val="36"/>
              </w:rPr>
              <w:t>10</w:t>
              <w:br/>
            </w:r>
            <w:r>
              <w:rPr>
                <w:rFonts w:ascii="Calibri" w:hAnsi="Calibri"/>
                <w:b w:val="0"/>
                <w:i w:val="0"/>
                <w:color w:val="5D6B88"/>
                <w:sz w:val="17"/>
              </w:rPr>
              <w:t>Pilares</w:t>
            </w:r>
          </w:p>
        </w:tc>
        <w:tc>
          <w:tcPr>
            <w:tcW w:type="dxa" w:w="2484"/>
            <w:shd w:fill="F4F6FB"/>
          </w:tcPr>
          <w:p>
            <w:pPr>
              <w:jc w:val="center"/>
            </w:pPr>
            <w:r>
              <w:rPr>
                <w:rFonts w:ascii="Calibri" w:hAnsi="Calibri"/>
                <w:b/>
                <w:i w:val="0"/>
                <w:color w:val="D91023"/>
                <w:sz w:val="36"/>
              </w:rPr>
              <w:t>14</w:t>
              <w:br/>
            </w:r>
            <w:r>
              <w:rPr>
                <w:rFonts w:ascii="Calibri" w:hAnsi="Calibri"/>
                <w:b w:val="0"/>
                <w:i w:val="0"/>
                <w:color w:val="5D6B88"/>
                <w:sz w:val="17"/>
              </w:rPr>
              <w:t>Objetivos</w:t>
            </w:r>
          </w:p>
        </w:tc>
        <w:tc>
          <w:tcPr>
            <w:tcW w:type="dxa" w:w="2484"/>
            <w:shd w:fill="F4F6FB"/>
          </w:tcPr>
          <w:p>
            <w:pPr>
              <w:jc w:val="center"/>
            </w:pPr>
            <w:r>
              <w:rPr>
                <w:rFonts w:ascii="Calibri" w:hAnsi="Calibri"/>
                <w:b/>
                <w:i w:val="0"/>
                <w:color w:val="D91023"/>
                <w:sz w:val="36"/>
              </w:rPr>
              <w:t>47%</w:t>
              <w:br/>
            </w:r>
            <w:r>
              <w:rPr>
                <w:rFonts w:ascii="Calibri" w:hAnsi="Calibri"/>
                <w:b w:val="0"/>
                <w:i w:val="0"/>
                <w:color w:val="5D6B88"/>
                <w:sz w:val="17"/>
              </w:rPr>
              <w:t>Avance estimado</w:t>
            </w:r>
          </w:p>
        </w:tc>
      </w:tr>
    </w:tbl>
    <w:p>
      <w:r>
        <w:rPr>
          <w:rFonts w:ascii="Calibri" w:hAnsi="Calibri"/>
          <w:b/>
          <w:i w:val="0"/>
          <w:color w:val="D91023"/>
          <w:sz w:val="26"/>
        </w:rPr>
        <w:t>Contenido</w:t>
      </w:r>
    </w:p>
    <w:p>
      <w:r>
        <w:rPr>
          <w:rFonts w:ascii="Calibri" w:hAnsi="Calibri"/>
          <w:b/>
          <w:i w:val="0"/>
          <w:color w:val="D91023"/>
          <w:sz w:val="20"/>
        </w:rPr>
        <w:t xml:space="preserve">I.  </w:t>
      </w:r>
      <w:r>
        <w:rPr>
          <w:rFonts w:ascii="Calibri" w:hAnsi="Calibri"/>
          <w:b w:val="0"/>
          <w:i w:val="0"/>
          <w:color w:val="1A2238"/>
          <w:sz w:val="20"/>
        </w:rPr>
        <w:t>Síntesis de la situación futura</w:t>
      </w:r>
    </w:p>
    <w:p>
      <w:r>
        <w:rPr>
          <w:rFonts w:ascii="Calibri" w:hAnsi="Calibri"/>
          <w:b/>
          <w:i w:val="0"/>
          <w:color w:val="D91023"/>
          <w:sz w:val="20"/>
        </w:rPr>
        <w:t xml:space="preserve">II.  </w:t>
      </w:r>
      <w:r>
        <w:rPr>
          <w:rFonts w:ascii="Calibri" w:hAnsi="Calibri"/>
          <w:b w:val="0"/>
          <w:i w:val="0"/>
          <w:color w:val="1A2238"/>
          <w:sz w:val="20"/>
        </w:rPr>
        <w:t>Síntesis de la situación actual</w:t>
      </w:r>
    </w:p>
    <w:p>
      <w:r>
        <w:rPr>
          <w:rFonts w:ascii="Calibri" w:hAnsi="Calibri"/>
          <w:b/>
          <w:i w:val="0"/>
          <w:color w:val="D91023"/>
          <w:sz w:val="20"/>
        </w:rPr>
        <w:t xml:space="preserve">III.  </w:t>
      </w:r>
      <w:r>
        <w:rPr>
          <w:rFonts w:ascii="Calibri" w:hAnsi="Calibri"/>
          <w:b w:val="0"/>
          <w:i w:val="0"/>
          <w:color w:val="1A2238"/>
          <w:sz w:val="20"/>
        </w:rPr>
        <w:t>Objetivos estratégicos</w:t>
      </w:r>
    </w:p>
    <w:p>
      <w:r>
        <w:rPr>
          <w:rFonts w:ascii="Calibri" w:hAnsi="Calibri"/>
          <w:b/>
          <w:i w:val="0"/>
          <w:color w:val="D91023"/>
          <w:sz w:val="20"/>
        </w:rPr>
        <w:t xml:space="preserve">IV.  </w:t>
      </w:r>
      <w:r>
        <w:rPr>
          <w:rFonts w:ascii="Calibri" w:hAnsi="Calibri"/>
          <w:b w:val="0"/>
          <w:i w:val="0"/>
          <w:color w:val="1A2238"/>
          <w:sz w:val="20"/>
        </w:rPr>
        <w:t>Acciones estratégicas</w:t>
      </w:r>
    </w:p>
    <w:p>
      <w:r>
        <w:rPr>
          <w:rFonts w:ascii="Calibri" w:hAnsi="Calibri"/>
          <w:b/>
          <w:i w:val="0"/>
          <w:color w:val="D91023"/>
          <w:sz w:val="20"/>
        </w:rPr>
        <w:t xml:space="preserve">V.  </w:t>
      </w:r>
      <w:r>
        <w:rPr>
          <w:rFonts w:ascii="Calibri" w:hAnsi="Calibri"/>
          <w:b w:val="0"/>
          <w:i w:val="0"/>
          <w:color w:val="1A2238"/>
          <w:sz w:val="20"/>
        </w:rPr>
        <w:t>Matriz resumen (indicadores)</w:t>
      </w:r>
    </w:p>
    <w:p>
      <w:r>
        <w:rPr>
          <w:rFonts w:ascii="Calibri" w:hAnsi="Calibri"/>
          <w:b/>
          <w:i w:val="0"/>
          <w:color w:val="D91023"/>
          <w:sz w:val="20"/>
        </w:rPr>
        <w:t xml:space="preserve">VII.  </w:t>
      </w:r>
      <w:r>
        <w:rPr>
          <w:rFonts w:ascii="Calibri" w:hAnsi="Calibri"/>
          <w:b w:val="0"/>
          <w:i w:val="0"/>
          <w:color w:val="1A2238"/>
          <w:sz w:val="20"/>
        </w:rPr>
        <w:t>Articulación con el Acuerdo Nacional y el PEDN al 2050</w:t>
      </w:r>
    </w:p>
    <w:p>
      <w:r>
        <w:rPr>
          <w:rFonts w:ascii="Calibri" w:hAnsi="Calibri"/>
          <w:b/>
          <w:i w:val="0"/>
          <w:color w:val="D91023"/>
          <w:sz w:val="26"/>
        </w:rPr>
        <w:t>I · Síntesis de la situación futura</w:t>
      </w:r>
    </w:p>
    <w:p>
      <w:r>
        <w:rPr>
          <w:rFonts w:ascii="Calibri" w:hAnsi="Calibri"/>
          <w:b w:val="0"/>
          <w:i w:val="0"/>
          <w:color w:val="1A2238"/>
          <w:sz w:val="21"/>
        </w:rPr>
        <w:t>Hacia 2040, un Estado que promueva el desarrollo económico y social, la competitividad y la sostenibilidad del país, con gobernantes y funcionarios respetados por su capacidad y accionar transparente y eficiente, cuya gestión esté orientada al servicio de la población, al logro del bienestar y al mejoramiento de la calidad de vida de las personas. En el marco del Plan 2040, el Perú será una sociedad humanista, educada en la economía de la creatividad, que aprovecha su biodiversidad como eje económico, innova a través de la ciencia y la tecnología con productos y servicios de alta calidad, líder en oferta exportable con valor agregado, con población de alta calidad de vida, oportunidades de desarrollo, ambiente sostenible y el Perú como marca de la biodiversidad en el mundo.</w:t>
      </w:r>
    </w:p>
    <w:p>
      <w:r>
        <w:rPr>
          <w:rFonts w:ascii="Calibri" w:hAnsi="Calibri"/>
          <w:b/>
          <w:i w:val="0"/>
          <w:color w:val="D91023"/>
          <w:sz w:val="26"/>
        </w:rPr>
        <w:t>II · Síntesis de la situación actual</w:t>
      </w:r>
    </w:p>
    <w:p>
      <w:pPr>
        <w:pStyle w:val="ListBullet"/>
      </w:pPr>
      <w:r>
        <w:rPr>
          <w:rFonts w:ascii="Calibri" w:hAnsi="Calibri"/>
          <w:b w:val="0"/>
          <w:i w:val="0"/>
          <w:color w:val="1A2238"/>
          <w:sz w:val="21"/>
        </w:rPr>
        <w:t>Existe una enorme y grave debilidad del aparato público; la planificación a largo plazo está ausente.</w:t>
      </w:r>
    </w:p>
    <w:p>
      <w:pPr>
        <w:pStyle w:val="ListBullet"/>
      </w:pPr>
      <w:r>
        <w:rPr>
          <w:rFonts w:ascii="Calibri" w:hAnsi="Calibri"/>
          <w:b w:val="0"/>
          <w:i w:val="0"/>
          <w:color w:val="1A2238"/>
          <w:sz w:val="21"/>
        </w:rPr>
        <w:t>El gobierno nacional, los gobiernos regionales y los gobiernos locales muestran precarias capacidades para desempeñar eficientemente sus funciones.</w:t>
      </w:r>
    </w:p>
    <w:p>
      <w:pPr>
        <w:pStyle w:val="ListBullet"/>
      </w:pPr>
      <w:r>
        <w:rPr>
          <w:rFonts w:ascii="Calibri" w:hAnsi="Calibri"/>
          <w:b w:val="0"/>
          <w:i w:val="0"/>
          <w:color w:val="1A2238"/>
          <w:sz w:val="21"/>
        </w:rPr>
        <w:t>El mayor número de instituciones del Estado -base de la democracia y la gobernabilidad- son anacrónicas; solo hay muy pocas islas de modernidad y eficiencia perdidas en un mar de mediocridad.</w:t>
      </w:r>
    </w:p>
    <w:p>
      <w:pPr>
        <w:pStyle w:val="ListBullet"/>
      </w:pPr>
      <w:r>
        <w:rPr>
          <w:rFonts w:ascii="Calibri" w:hAnsi="Calibri"/>
          <w:b w:val="0"/>
          <w:i w:val="0"/>
          <w:color w:val="1A2238"/>
          <w:sz w:val="21"/>
        </w:rPr>
        <w:t>La recaudación tributaria es del 14% del PBI, prácticamente la mitad de los niveles de varios países latinoamericanos (Brasil 36%, Argentina 29.7%, Uruguay 24%, Chile 21%).</w:t>
      </w:r>
    </w:p>
    <w:p>
      <w:pPr>
        <w:pStyle w:val="ListBullet"/>
      </w:pPr>
      <w:r>
        <w:rPr>
          <w:rFonts w:ascii="Calibri" w:hAnsi="Calibri"/>
          <w:b w:val="0"/>
          <w:i w:val="0"/>
          <w:color w:val="1A2238"/>
          <w:sz w:val="21"/>
        </w:rPr>
        <w:t>El grueso de la recaudación proviene de impuestos indirectos (IGV/IVA), técnicamente regresivos, y no de impuestos directos como debiera ser.</w:t>
      </w:r>
    </w:p>
    <w:p>
      <w:pPr>
        <w:pStyle w:val="ListBullet"/>
      </w:pPr>
      <w:r>
        <w:rPr>
          <w:rFonts w:ascii="Calibri" w:hAnsi="Calibri"/>
          <w:b w:val="0"/>
          <w:i w:val="0"/>
          <w:color w:val="1A2238"/>
          <w:sz w:val="21"/>
        </w:rPr>
        <w:t>Persisten la informalidad, la evasión y la elusión tributaria, sin visos de resolución.</w:t>
      </w:r>
    </w:p>
    <w:p>
      <w:pPr>
        <w:pStyle w:val="ListBullet"/>
      </w:pPr>
      <w:r>
        <w:rPr>
          <w:rFonts w:ascii="Calibri" w:hAnsi="Calibri"/>
          <w:b w:val="0"/>
          <w:i w:val="0"/>
          <w:color w:val="1A2238"/>
          <w:sz w:val="21"/>
        </w:rPr>
        <w:t>Se han acumulado distorsiones y vicios administrativos; se necesita urgentemente racionalización y reestructuración de la administración pública.</w:t>
      </w:r>
    </w:p>
    <w:p>
      <w:pPr>
        <w:pStyle w:val="ListBullet"/>
      </w:pPr>
      <w:r>
        <w:rPr>
          <w:rFonts w:ascii="Calibri" w:hAnsi="Calibri"/>
          <w:b w:val="0"/>
          <w:i w:val="0"/>
          <w:color w:val="1A2238"/>
          <w:sz w:val="21"/>
        </w:rPr>
        <w:t>No se han modificado significativamente los procedimientos para formular el Presupuesto de la República ni se han actualizado los mecanismos para controlar y evaluar su ejecución; el Poder Ejecutivo no está a la altura de los desafíos.</w:t>
      </w:r>
    </w:p>
    <w:p>
      <w:pPr>
        <w:pStyle w:val="ListBullet"/>
      </w:pPr>
      <w:r>
        <w:rPr>
          <w:rFonts w:ascii="Calibri" w:hAnsi="Calibri"/>
          <w:b w:val="0"/>
          <w:i w:val="0"/>
          <w:color w:val="1A2238"/>
          <w:sz w:val="21"/>
        </w:rPr>
        <w:t>El Congreso no muestra capacidad suficiente para seguir con eficiencia el norte del desarrollo del país; se pierde en asuntos anecdóticos y banales, y la mayoría de ciudadanos no se siente representada.</w:t>
      </w:r>
    </w:p>
    <w:p>
      <w:pPr>
        <w:pStyle w:val="ListBullet"/>
      </w:pPr>
      <w:r>
        <w:rPr>
          <w:rFonts w:ascii="Calibri" w:hAnsi="Calibri"/>
          <w:b w:val="0"/>
          <w:i w:val="0"/>
          <w:color w:val="1A2238"/>
          <w:sz w:val="21"/>
        </w:rPr>
        <w:t>Los partidos políticos adolecen de falta de seriedad, responsabilidad y compromiso, y funcionan solo en períodos electorales; el Congreso y la clase política sufren un crónico y sostenido desprestigio.</w:t>
      </w:r>
    </w:p>
    <w:p>
      <w:pPr>
        <w:pStyle w:val="ListBullet"/>
      </w:pPr>
      <w:r>
        <w:rPr>
          <w:rFonts w:ascii="Calibri" w:hAnsi="Calibri"/>
          <w:b w:val="0"/>
          <w:i w:val="0"/>
          <w:color w:val="1A2238"/>
          <w:sz w:val="21"/>
        </w:rPr>
        <w:t>La administración de justicia es errática y fuente para que la corrupción permanezca imbatible y hasta sirva como paradigma.</w:t>
      </w:r>
    </w:p>
    <w:p>
      <w:r>
        <w:rPr>
          <w:rFonts w:ascii="Calibri" w:hAnsi="Calibri"/>
          <w:b/>
          <w:i w:val="0"/>
          <w:color w:val="D91023"/>
          <w:sz w:val="26"/>
        </w:rPr>
        <w:t>III · Objetivos estratégicos</w:t>
      </w:r>
    </w:p>
    <w:p>
      <w:pPr>
        <w:pStyle w:val="ListBullet"/>
      </w:pPr>
      <w:r>
        <w:rPr>
          <w:rFonts w:ascii="Calibri" w:hAnsi="Calibri"/>
          <w:b w:val="0"/>
          <w:i w:val="0"/>
          <w:color w:val="1A2238"/>
          <w:sz w:val="21"/>
        </w:rPr>
        <w:t>Objetivo Estratégico N°1: Perfeccionar la institucionalidad y la organización de las entidades en los diferentes niveles de gobierno.</w:t>
      </w:r>
    </w:p>
    <w:p>
      <w:pPr>
        <w:pStyle w:val="ListBullet"/>
      </w:pPr>
      <w:r>
        <w:rPr>
          <w:rFonts w:ascii="Calibri" w:hAnsi="Calibri"/>
          <w:b w:val="0"/>
          <w:i w:val="0"/>
          <w:color w:val="1A2238"/>
          <w:sz w:val="21"/>
        </w:rPr>
        <w:t>Objetivo Estratégico N°2: Contar con capital humano competente y probo.</w:t>
      </w:r>
    </w:p>
    <w:p>
      <w:pPr>
        <w:pStyle w:val="ListBullet"/>
      </w:pPr>
      <w:r>
        <w:rPr>
          <w:rFonts w:ascii="Calibri" w:hAnsi="Calibri"/>
          <w:b w:val="0"/>
          <w:i w:val="0"/>
          <w:color w:val="1A2238"/>
          <w:sz w:val="21"/>
        </w:rPr>
        <w:t>Objetivo Estratégico N°3: Implantar un sistema de planificación de largo plazo con visión de futuro del país que impulse su desarrollo sostenible.</w:t>
      </w:r>
    </w:p>
    <w:p>
      <w:pPr>
        <w:pStyle w:val="ListBullet"/>
      </w:pPr>
      <w:r>
        <w:rPr>
          <w:rFonts w:ascii="Calibri" w:hAnsi="Calibri"/>
          <w:b w:val="0"/>
          <w:i w:val="0"/>
          <w:color w:val="1A2238"/>
          <w:sz w:val="21"/>
        </w:rPr>
        <w:t>Objetivo Estratégico N°4: Contar con instituciones que garanticen la administración de justicia, el orden interno y la seguridad ciudadana.</w:t>
      </w:r>
    </w:p>
    <w:p>
      <w:pPr>
        <w:pStyle w:val="ListBullet"/>
      </w:pPr>
      <w:r>
        <w:rPr>
          <w:rFonts w:ascii="Calibri" w:hAnsi="Calibri"/>
          <w:b w:val="0"/>
          <w:i w:val="0"/>
          <w:color w:val="1A2238"/>
          <w:sz w:val="21"/>
        </w:rPr>
        <w:t>Objetivo Estratégico N°5: Contar con entidades que cumplan eficaz y eficientemente sus roles.</w:t>
      </w:r>
    </w:p>
    <w:p>
      <w:pPr>
        <w:pStyle w:val="ListBullet"/>
      </w:pPr>
      <w:r>
        <w:rPr>
          <w:rFonts w:ascii="Calibri" w:hAnsi="Calibri"/>
          <w:b w:val="0"/>
          <w:i w:val="0"/>
          <w:color w:val="1A2238"/>
          <w:sz w:val="21"/>
        </w:rPr>
        <w:t>Objetivo Estratégico N°6: Administrar los recursos de manera eficiente y transparente.</w:t>
      </w:r>
    </w:p>
    <w:p>
      <w:pPr>
        <w:pStyle w:val="ListBullet"/>
      </w:pPr>
      <w:r>
        <w:rPr>
          <w:rFonts w:ascii="Calibri" w:hAnsi="Calibri"/>
          <w:b w:val="0"/>
          <w:i w:val="0"/>
          <w:color w:val="1A2238"/>
          <w:sz w:val="21"/>
        </w:rPr>
        <w:t>Estado promotor del desarrollo económico y social sostenible.</w:t>
      </w:r>
    </w:p>
    <w:p>
      <w:pPr>
        <w:pStyle w:val="ListBullet"/>
      </w:pPr>
      <w:r>
        <w:rPr>
          <w:rFonts w:ascii="Calibri" w:hAnsi="Calibri"/>
          <w:b w:val="0"/>
          <w:i w:val="0"/>
          <w:color w:val="1A2238"/>
          <w:sz w:val="21"/>
        </w:rPr>
        <w:t>Gestión con visión de futuro.</w:t>
      </w:r>
    </w:p>
    <w:p>
      <w:pPr>
        <w:pStyle w:val="ListBullet"/>
      </w:pPr>
      <w:r>
        <w:rPr>
          <w:rFonts w:ascii="Calibri" w:hAnsi="Calibri"/>
          <w:b w:val="0"/>
          <w:i w:val="0"/>
          <w:color w:val="1A2238"/>
          <w:sz w:val="21"/>
        </w:rPr>
        <w:t>Contar con funcionarios probos y competentes.</w:t>
      </w:r>
    </w:p>
    <w:p>
      <w:pPr>
        <w:pStyle w:val="ListBullet"/>
      </w:pPr>
      <w:r>
        <w:rPr>
          <w:rFonts w:ascii="Calibri" w:hAnsi="Calibri"/>
          <w:b w:val="0"/>
          <w:i w:val="0"/>
          <w:color w:val="1A2238"/>
          <w:sz w:val="21"/>
        </w:rPr>
        <w:t>Gobierno nacional eficiente y transparente, orientado al servicio de la población.</w:t>
      </w:r>
    </w:p>
    <w:p>
      <w:pPr>
        <w:pStyle w:val="ListBullet"/>
      </w:pPr>
      <w:r>
        <w:rPr>
          <w:rFonts w:ascii="Calibri" w:hAnsi="Calibri"/>
          <w:b w:val="0"/>
          <w:i w:val="0"/>
          <w:color w:val="1A2238"/>
          <w:sz w:val="21"/>
        </w:rPr>
        <w:t>Congreso de la República respetado y reconocido por la calidad de sus integrantes.</w:t>
      </w:r>
    </w:p>
    <w:p>
      <w:pPr>
        <w:pStyle w:val="ListBullet"/>
      </w:pPr>
      <w:r>
        <w:rPr>
          <w:rFonts w:ascii="Calibri" w:hAnsi="Calibri"/>
          <w:b w:val="0"/>
          <w:i w:val="0"/>
          <w:color w:val="1A2238"/>
          <w:sz w:val="21"/>
        </w:rPr>
        <w:t>Sistema de administración de justicia oportuna, eficaz y eficiente.</w:t>
      </w:r>
    </w:p>
    <w:p>
      <w:pPr>
        <w:pStyle w:val="ListBullet"/>
      </w:pPr>
      <w:r>
        <w:rPr>
          <w:rFonts w:ascii="Calibri" w:hAnsi="Calibri"/>
          <w:b w:val="0"/>
          <w:i w:val="0"/>
          <w:color w:val="1A2238"/>
          <w:sz w:val="21"/>
        </w:rPr>
        <w:t>Gobiernos regionales y locales eficientes y transparentes, orientados al servicio de la población.</w:t>
      </w:r>
    </w:p>
    <w:p>
      <w:pPr>
        <w:pStyle w:val="ListBullet"/>
      </w:pPr>
      <w:r>
        <w:rPr>
          <w:rFonts w:ascii="Calibri" w:hAnsi="Calibri"/>
          <w:b w:val="0"/>
          <w:i w:val="0"/>
          <w:color w:val="1A2238"/>
          <w:sz w:val="21"/>
        </w:rPr>
        <w:t>País con bajo nivel de pobreza y reducido número de conflictos sociales.</w:t>
      </w:r>
    </w:p>
    <w:p>
      <w:r>
        <w:rPr>
          <w:rFonts w:ascii="Calibri" w:hAnsi="Calibri"/>
          <w:b/>
          <w:i w:val="0"/>
          <w:color w:val="D91023"/>
          <w:sz w:val="26"/>
        </w:rPr>
        <w:t>IV · Acciones estratégicas</w:t>
      </w:r>
    </w:p>
    <w:p>
      <w:pPr>
        <w:pStyle w:val="ListBullet"/>
      </w:pPr>
      <w:r>
        <w:rPr>
          <w:rFonts w:ascii="Calibri" w:hAnsi="Calibri"/>
          <w:b w:val="0"/>
          <w:i w:val="0"/>
          <w:color w:val="1A2238"/>
          <w:sz w:val="21"/>
        </w:rPr>
        <w:t>Proyecto N°1: Creación del ente encargado de la Reforma del Estado, organismo dependiente de la Presidencia de la República, con autoridad para liderar e implementar la Reforma del Estado.</w:t>
      </w:r>
    </w:p>
    <w:p>
      <w:pPr>
        <w:pStyle w:val="ListBullet"/>
      </w:pPr>
      <w:r>
        <w:rPr>
          <w:rFonts w:ascii="Calibri" w:hAnsi="Calibri"/>
          <w:b w:val="0"/>
          <w:i w:val="0"/>
          <w:color w:val="1A2238"/>
          <w:sz w:val="21"/>
        </w:rPr>
        <w:t>Proyecto N°2: Modernización del Sistema Electoral, proponiendo mejoras para elevar el nivel de los candidatos a cargos electivos.</w:t>
      </w:r>
    </w:p>
    <w:p>
      <w:pPr>
        <w:pStyle w:val="ListBullet"/>
      </w:pPr>
      <w:r>
        <w:rPr>
          <w:rFonts w:ascii="Calibri" w:hAnsi="Calibri"/>
          <w:b w:val="0"/>
          <w:i w:val="0"/>
          <w:color w:val="1A2238"/>
          <w:sz w:val="21"/>
        </w:rPr>
        <w:t>Proyecto N°3: Fortalecimiento de organizaciones políticas y sociales, promoviendo un número racional de partidos y movimientos regionales y locales fortalecidos.</w:t>
      </w:r>
    </w:p>
    <w:p>
      <w:pPr>
        <w:pStyle w:val="ListBullet"/>
      </w:pPr>
      <w:r>
        <w:rPr>
          <w:rFonts w:ascii="Calibri" w:hAnsi="Calibri"/>
          <w:b w:val="0"/>
          <w:i w:val="0"/>
          <w:color w:val="1A2238"/>
          <w:sz w:val="21"/>
        </w:rPr>
        <w:t>Proyecto N°4: Fortalecimiento de la cultura y la participación ciudadana, fortaleciendo la educación cívica, los valores y la participación activa en la gestión pública.</w:t>
      </w:r>
    </w:p>
    <w:p>
      <w:pPr>
        <w:pStyle w:val="ListBullet"/>
      </w:pPr>
      <w:r>
        <w:rPr>
          <w:rFonts w:ascii="Calibri" w:hAnsi="Calibri"/>
          <w:b w:val="0"/>
          <w:i w:val="0"/>
          <w:color w:val="1A2238"/>
          <w:sz w:val="21"/>
        </w:rPr>
        <w:t>Proyecto N°5: Erradicación sistemática de la corrupción, implementando normas para prevenir y sancionar administrativa y penalmente los actos de corrupción.</w:t>
      </w:r>
    </w:p>
    <w:p>
      <w:pPr>
        <w:pStyle w:val="ListBullet"/>
      </w:pPr>
      <w:r>
        <w:rPr>
          <w:rFonts w:ascii="Calibri" w:hAnsi="Calibri"/>
          <w:b w:val="0"/>
          <w:i w:val="0"/>
          <w:color w:val="1A2238"/>
          <w:sz w:val="21"/>
        </w:rPr>
        <w:t>Proyecto N°6: Estructura de gobierno y asignación de competencias, diseñando la estructura general del Poder Ejecutivo, sistemas de control, administración de justicia, Poder Legislativo y Sistema Electoral.</w:t>
      </w:r>
    </w:p>
    <w:p>
      <w:pPr>
        <w:pStyle w:val="ListBullet"/>
      </w:pPr>
      <w:r>
        <w:rPr>
          <w:rFonts w:ascii="Calibri" w:hAnsi="Calibri"/>
          <w:b w:val="0"/>
          <w:i w:val="0"/>
          <w:color w:val="1A2238"/>
          <w:sz w:val="21"/>
        </w:rPr>
        <w:t>Proyecto N°7: Reforma de la administración del capital humano en el sector público, implementando un sistema de desarrollo del capital humano coherente con la competitividad mundial.</w:t>
      </w:r>
    </w:p>
    <w:p>
      <w:pPr>
        <w:pStyle w:val="ListBullet"/>
      </w:pPr>
      <w:r>
        <w:rPr>
          <w:rFonts w:ascii="Calibri" w:hAnsi="Calibri"/>
          <w:b w:val="0"/>
          <w:i w:val="0"/>
          <w:color w:val="1A2238"/>
          <w:sz w:val="21"/>
        </w:rPr>
        <w:t>Proyecto N°8: Perfeccionar el sistema de planificación, implementando una cultura de planeamiento de largo plazo adecuada a la evolución del mundo, país, región y localidad.</w:t>
      </w:r>
    </w:p>
    <w:p>
      <w:pPr>
        <w:pStyle w:val="ListBullet"/>
      </w:pPr>
      <w:r>
        <w:rPr>
          <w:rFonts w:ascii="Calibri" w:hAnsi="Calibri"/>
          <w:b w:val="0"/>
          <w:i w:val="0"/>
          <w:color w:val="1A2238"/>
          <w:sz w:val="21"/>
        </w:rPr>
        <w:t>Proyecto N°9: Reforma del Sistema de Administración de Justicia, para que se respeten oportunamente los derechos y la seguridad jurídica de las personas.</w:t>
      </w:r>
    </w:p>
    <w:p>
      <w:pPr>
        <w:pStyle w:val="ListBullet"/>
      </w:pPr>
      <w:r>
        <w:rPr>
          <w:rFonts w:ascii="Calibri" w:hAnsi="Calibri"/>
          <w:b w:val="0"/>
          <w:i w:val="0"/>
          <w:color w:val="1A2238"/>
          <w:sz w:val="21"/>
        </w:rPr>
        <w:t>Proyecto N°10: Reforma del sistema para el orden interno y la seguridad ciudadana, modernizando la Policía Nacional del Perú y delimitando competencias con los gobiernos locales.</w:t>
      </w:r>
    </w:p>
    <w:p>
      <w:pPr>
        <w:pStyle w:val="ListBullet"/>
      </w:pPr>
      <w:r>
        <w:rPr>
          <w:rFonts w:ascii="Calibri" w:hAnsi="Calibri"/>
          <w:b w:val="0"/>
          <w:i w:val="0"/>
          <w:color w:val="1A2238"/>
          <w:sz w:val="21"/>
        </w:rPr>
        <w:t>Proyecto N°11: Fortalecimiento del Congreso de la República, implementando la bicameralidad y normas para que la asignación de su presupuesto y la evaluación de conductas sean opinadas por un ente independiente.</w:t>
      </w:r>
    </w:p>
    <w:p>
      <w:pPr>
        <w:pStyle w:val="ListBullet"/>
      </w:pPr>
      <w:r>
        <w:rPr>
          <w:rFonts w:ascii="Calibri" w:hAnsi="Calibri"/>
          <w:b w:val="0"/>
          <w:i w:val="0"/>
          <w:color w:val="1A2238"/>
          <w:sz w:val="21"/>
        </w:rPr>
        <w:t>Proyecto N°12: Reforma del Sistema de Control, dándole enfoque preventivo y evaluación por resultados, reestructurando la Contraloría General y los órganos de control interno e implementando un Tribunal Administrativo.</w:t>
      </w:r>
    </w:p>
    <w:p>
      <w:pPr>
        <w:pStyle w:val="ListBullet"/>
      </w:pPr>
      <w:r>
        <w:rPr>
          <w:rFonts w:ascii="Calibri" w:hAnsi="Calibri"/>
          <w:b w:val="0"/>
          <w:i w:val="0"/>
          <w:color w:val="1A2238"/>
          <w:sz w:val="21"/>
        </w:rPr>
        <w:t>Proyecto N°13: Reforma del Poder Ejecutivo, redefiniendo ministerios, organismos públicos autónomos y especializados y empresas públicas, orientando la gestión al servicio de la población.</w:t>
      </w:r>
    </w:p>
    <w:p>
      <w:pPr>
        <w:pStyle w:val="ListBullet"/>
      </w:pPr>
      <w:r>
        <w:rPr>
          <w:rFonts w:ascii="Calibri" w:hAnsi="Calibri"/>
          <w:b w:val="0"/>
          <w:i w:val="0"/>
          <w:color w:val="1A2238"/>
          <w:sz w:val="21"/>
        </w:rPr>
        <w:t>Proyecto N°14: Estructura organizacional de los gobiernos regionales, normando su gestión y definiendo un modelo de organización para planificar el desarrollo económico-social sostenible de la región.</w:t>
      </w:r>
    </w:p>
    <w:p>
      <w:pPr>
        <w:pStyle w:val="ListBullet"/>
      </w:pPr>
      <w:r>
        <w:rPr>
          <w:rFonts w:ascii="Calibri" w:hAnsi="Calibri"/>
          <w:b w:val="0"/>
          <w:i w:val="0"/>
          <w:color w:val="1A2238"/>
          <w:sz w:val="21"/>
        </w:rPr>
        <w:t>Proyecto N°15: Estructura organizacional de los gobiernos locales, normando su gestión y definiendo un modelo para planificar y administrar el desarrollo de la ciudad.</w:t>
      </w:r>
    </w:p>
    <w:p>
      <w:pPr>
        <w:pStyle w:val="ListBullet"/>
      </w:pPr>
      <w:r>
        <w:rPr>
          <w:rFonts w:ascii="Calibri" w:hAnsi="Calibri"/>
          <w:b w:val="0"/>
          <w:i w:val="0"/>
          <w:color w:val="1A2238"/>
          <w:sz w:val="21"/>
        </w:rPr>
        <w:t>Proyecto N°16: Modernizar los diversos sistemas administrativos y operativos, replanteando los procesos de abastecimiento y contratación y optimizando los sistemas de recaudación de tributos.</w:t>
      </w:r>
    </w:p>
    <w:p>
      <w:r>
        <w:rPr>
          <w:rFonts w:ascii="Calibri" w:hAnsi="Calibri"/>
          <w:b/>
          <w:i w:val="0"/>
          <w:color w:val="D91023"/>
          <w:sz w:val="26"/>
        </w:rPr>
        <w:t>V · Matriz resumen — indicadores: hoy → meta 2050</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1023"/>
          </w:tcPr>
          <w:p>
            <w:r>
              <w:rPr>
                <w:rFonts w:ascii="Calibri" w:hAnsi="Calibri"/>
                <w:b/>
                <w:i w:val="0"/>
                <w:color w:val="FFFFFF"/>
                <w:sz w:val="17"/>
              </w:rPr>
              <w:t>Indicador</w:t>
            </w:r>
          </w:p>
        </w:tc>
        <w:tc>
          <w:tcPr>
            <w:tcW w:type="dxa" w:w="1656"/>
            <w:shd w:fill="D91023"/>
          </w:tcPr>
          <w:p>
            <w:r>
              <w:rPr>
                <w:rFonts w:ascii="Calibri" w:hAnsi="Calibri"/>
                <w:b/>
                <w:i w:val="0"/>
                <w:color w:val="FFFFFF"/>
                <w:sz w:val="17"/>
              </w:rPr>
              <w:t>Hoy</w:t>
            </w:r>
          </w:p>
        </w:tc>
        <w:tc>
          <w:tcPr>
            <w:tcW w:type="dxa" w:w="1656"/>
            <w:shd w:fill="D91023"/>
          </w:tcPr>
          <w:p>
            <w:r>
              <w:rPr>
                <w:rFonts w:ascii="Calibri" w:hAnsi="Calibri"/>
                <w:b/>
                <w:i w:val="0"/>
                <w:color w:val="FFFFFF"/>
                <w:sz w:val="17"/>
              </w:rPr>
              <w:t>Meta 2050</w:t>
            </w:r>
          </w:p>
        </w:tc>
        <w:tc>
          <w:tcPr>
            <w:tcW w:type="dxa" w:w="1656"/>
            <w:shd w:fill="D91023"/>
          </w:tcPr>
          <w:p>
            <w:r>
              <w:rPr>
                <w:rFonts w:ascii="Calibri" w:hAnsi="Calibri"/>
                <w:b/>
                <w:i w:val="0"/>
                <w:color w:val="FFFFFF"/>
                <w:sz w:val="17"/>
              </w:rPr>
              <w:t>Unidad</w:t>
            </w:r>
          </w:p>
        </w:tc>
        <w:tc>
          <w:tcPr>
            <w:tcW w:type="dxa" w:w="1656"/>
            <w:shd w:fill="D91023"/>
          </w:tcPr>
          <w:p>
            <w:r>
              <w:rPr>
                <w:rFonts w:ascii="Calibri" w:hAnsi="Calibri"/>
                <w:b/>
                <w:i w:val="0"/>
                <w:color w:val="FFFFFF"/>
                <w:sz w:val="17"/>
              </w:rPr>
              <w:t>% avance</w:t>
            </w:r>
          </w:p>
        </w:tc>
        <w:tc>
          <w:tcPr>
            <w:tcW w:type="dxa" w:w="1656"/>
            <w:shd w:fill="D91023"/>
          </w:tcPr>
          <w:p>
            <w:r>
              <w:rPr>
                <w:rFonts w:ascii="Calibri" w:hAnsi="Calibri"/>
                <w:b/>
                <w:i w:val="0"/>
                <w:color w:val="FFFFFF"/>
                <w:sz w:val="17"/>
              </w:rPr>
              <w:t>Fuente</w:t>
            </w:r>
          </w:p>
        </w:tc>
      </w:tr>
      <w:tr>
        <w:tc>
          <w:tcPr>
            <w:tcW w:type="dxa" w:w="1656"/>
          </w:tcPr>
          <w:p>
            <w:r>
              <w:rPr>
                <w:rFonts w:ascii="Calibri" w:hAnsi="Calibri"/>
                <w:b/>
                <w:i w:val="0"/>
                <w:color w:val="1A2238"/>
                <w:sz w:val="16"/>
              </w:rPr>
              <w:t>Presión tributaria (recaudación tributaria como porcentaje del PBI)</w:t>
            </w:r>
          </w:p>
        </w:tc>
        <w:tc>
          <w:tcPr>
            <w:tcW w:type="dxa" w:w="1656"/>
          </w:tcPr>
          <w:p>
            <w:r>
              <w:rPr>
                <w:rFonts w:ascii="Calibri" w:hAnsi="Calibri"/>
                <w:b w:val="0"/>
                <w:i w:val="0"/>
                <w:color w:val="1A2238"/>
                <w:sz w:val="16"/>
              </w:rPr>
              <w:t>14</w:t>
            </w:r>
          </w:p>
        </w:tc>
        <w:tc>
          <w:tcPr>
            <w:tcW w:type="dxa" w:w="1656"/>
          </w:tcPr>
          <w:p>
            <w:r>
              <w:rPr>
                <w:rFonts w:ascii="Calibri" w:hAnsi="Calibri"/>
                <w:b w:val="0"/>
                <w:i w:val="0"/>
                <w:color w:val="1A2238"/>
                <w:sz w:val="16"/>
              </w:rPr>
              <w:t>30</w:t>
            </w:r>
          </w:p>
        </w:tc>
        <w:tc>
          <w:tcPr>
            <w:tcW w:type="dxa" w:w="1656"/>
          </w:tcPr>
          <w:p>
            <w:r>
              <w:rPr>
                <w:rFonts w:ascii="Calibri" w:hAnsi="Calibri"/>
                <w:b w:val="0"/>
                <w:i w:val="0"/>
                <w:color w:val="1A2238"/>
                <w:sz w:val="16"/>
              </w:rPr>
              <w:t>% del PBI</w:t>
            </w:r>
          </w:p>
        </w:tc>
        <w:tc>
          <w:tcPr>
            <w:tcW w:type="dxa" w:w="1656"/>
          </w:tcPr>
          <w:p>
            <w:r>
              <w:rPr>
                <w:rFonts w:ascii="Calibri" w:hAnsi="Calibri"/>
                <w:b w:val="0"/>
                <w:i w:val="0"/>
                <w:color w:val="1A2238"/>
                <w:sz w:val="16"/>
              </w:rPr>
              <w:t>47%</w:t>
            </w:r>
          </w:p>
        </w:tc>
        <w:tc>
          <w:tcPr>
            <w:tcW w:type="dxa" w:w="1656"/>
          </w:tcPr>
          <w:p>
            <w:r>
              <w:rPr>
                <w:rFonts w:ascii="Calibri" w:hAnsi="Calibri"/>
                <w:b w:val="0"/>
                <w:i w:val="0"/>
                <w:color w:val="1A2238"/>
                <w:sz w:val="16"/>
              </w:rPr>
              <w:t>Informe Comisión Reforma del Estado, Plan Perú (CNPP / CIP)</w:t>
            </w:r>
          </w:p>
        </w:tc>
      </w:tr>
      <w:tr>
        <w:tc>
          <w:tcPr>
            <w:tcW w:type="dxa" w:w="1656"/>
          </w:tcPr>
          <w:p>
            <w:r>
              <w:rPr>
                <w:rFonts w:ascii="Calibri" w:hAnsi="Calibri"/>
                <w:b/>
                <w:i w:val="0"/>
                <w:color w:val="1A2238"/>
                <w:sz w:val="16"/>
              </w:rPr>
              <w:t>Crecimiento mínimo anual del PBI</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6</w:t>
            </w:r>
          </w:p>
        </w:tc>
        <w:tc>
          <w:tcPr>
            <w:tcW w:type="dxa" w:w="1656"/>
          </w:tcPr>
          <w:p>
            <w:r>
              <w:rPr>
                <w:rFonts w:ascii="Calibri" w:hAnsi="Calibri"/>
                <w:b w:val="0"/>
                <w:i w:val="0"/>
                <w:color w:val="1A2238"/>
                <w:sz w:val="16"/>
              </w:rPr>
              <w:t>% anual</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Informe Comisión Reforma del Estado, Plan Perú (CNPP / CIP)</w:t>
            </w:r>
          </w:p>
        </w:tc>
      </w:tr>
    </w:tbl>
    <w:p/>
    <w:p>
      <w:r>
        <w:drawing>
          <wp:inline xmlns:a="http://schemas.openxmlformats.org/drawingml/2006/main" xmlns:pic="http://schemas.openxmlformats.org/drawingml/2006/picture">
            <wp:extent cx="5852160" cy="1570092"/>
            <wp:docPr id="1" name="Picture 1"/>
            <wp:cNvGraphicFramePr>
              <a:graphicFrameLocks noChangeAspect="1"/>
            </wp:cNvGraphicFramePr>
            <a:graphic>
              <a:graphicData uri="http://schemas.openxmlformats.org/drawingml/2006/picture">
                <pic:pic>
                  <pic:nvPicPr>
                    <pic:cNvPr id="0" name="avance_reforma-del-estado.png"/>
                    <pic:cNvPicPr/>
                  </pic:nvPicPr>
                  <pic:blipFill>
                    <a:blip r:embed="rId9"/>
                    <a:stretch>
                      <a:fillRect/>
                    </a:stretch>
                  </pic:blipFill>
                  <pic:spPr>
                    <a:xfrm>
                      <a:off x="0" y="0"/>
                      <a:ext cx="5852160" cy="1570092"/>
                    </a:xfrm>
                    <a:prstGeom prst="rect"/>
                  </pic:spPr>
                </pic:pic>
              </a:graphicData>
            </a:graphic>
          </wp:inline>
        </w:drawing>
      </w:r>
    </w:p>
    <w:p>
      <w:pPr>
        <w:jc w:val="center"/>
      </w:pPr>
      <w:r>
        <w:rPr>
          <w:rFonts w:ascii="Calibri" w:hAnsi="Calibri"/>
          <w:b w:val="0"/>
          <w:i/>
          <w:color w:val="5D6B88"/>
          <w:sz w:val="16"/>
        </w:rPr>
        <w:t>Avance estimado de cada indicador hacia su meta 2050.</w:t>
      </w:r>
    </w:p>
    <w:p>
      <w:r>
        <w:rPr>
          <w:rFonts w:ascii="Calibri" w:hAnsi="Calibri"/>
          <w:b/>
          <w:i w:val="0"/>
          <w:color w:val="D91023"/>
          <w:sz w:val="26"/>
        </w:rPr>
        <w:t>VII · Articulación con el Acuerdo Nacional y el PEDN al 2050</w:t>
      </w:r>
    </w:p>
    <w:p>
      <w:pPr>
        <w:pStyle w:val="ListBullet"/>
      </w:pPr>
      <w:r>
        <w:rPr>
          <w:rFonts w:ascii="Calibri" w:hAnsi="Calibri"/>
          <w:b w:val="0"/>
          <w:i w:val="0"/>
          <w:color w:val="1A2238"/>
          <w:sz w:val="21"/>
        </w:rPr>
        <w:t>Acuerdo Nacional - Cuarto Objetivo: Estado eficiente, transparente y descentralizado.</w:t>
      </w:r>
    </w:p>
    <w:p>
      <w:pPr>
        <w:pStyle w:val="ListBullet"/>
      </w:pPr>
      <w:r>
        <w:rPr>
          <w:rFonts w:ascii="Calibri" w:hAnsi="Calibri"/>
          <w:b w:val="0"/>
          <w:i w:val="0"/>
          <w:color w:val="1A2238"/>
          <w:sz w:val="21"/>
        </w:rPr>
        <w:t>Acuerdo Nacional - Política de Estado N°24: Afirmación de un Estado eficiente y transparente.</w:t>
      </w:r>
    </w:p>
    <w:p>
      <w:pPr>
        <w:pStyle w:val="ListBullet"/>
      </w:pPr>
      <w:r>
        <w:rPr>
          <w:rFonts w:ascii="Calibri" w:hAnsi="Calibri"/>
          <w:b w:val="0"/>
          <w:i w:val="0"/>
          <w:color w:val="1A2238"/>
          <w:sz w:val="21"/>
        </w:rPr>
        <w:t>Acuerdo Nacional - Política de Estado N°26: Promoción de la ética y la transparencia y erradicación de la corrupción, el lavado de dinero, la evasión tributaria y el contrabando en todas sus formas.</w:t>
      </w:r>
    </w:p>
    <w:p>
      <w:r>
        <w:rPr>
          <w:rFonts w:ascii="Calibri" w:hAnsi="Calibri"/>
          <w:b/>
          <w:i w:val="0"/>
          <w:color w:val="D91023"/>
          <w:sz w:val="26"/>
        </w:rPr>
        <w:t>Pilares de la estrategia</w:t>
      </w:r>
    </w:p>
    <w:p>
      <w:r>
        <w:rPr>
          <w:rFonts w:ascii="Calibri" w:hAnsi="Calibri"/>
          <w:b/>
          <w:i w:val="0"/>
          <w:color w:val="1A2238"/>
          <w:sz w:val="21"/>
        </w:rPr>
        <w:t xml:space="preserve">Una visión de país: </w:t>
      </w:r>
      <w:r>
        <w:rPr>
          <w:rFonts w:ascii="Calibri" w:hAnsi="Calibri"/>
          <w:b w:val="0"/>
          <w:i w:val="0"/>
          <w:color w:val="1A2238"/>
          <w:sz w:val="21"/>
        </w:rPr>
        <w:t>Base de desarrollo: contar con una visión de país compartida que oriente la gran transformación del Estado.</w:t>
      </w:r>
    </w:p>
    <w:p>
      <w:r>
        <w:rPr>
          <w:rFonts w:ascii="Calibri" w:hAnsi="Calibri"/>
          <w:b/>
          <w:i w:val="0"/>
          <w:color w:val="1A2238"/>
          <w:sz w:val="21"/>
        </w:rPr>
        <w:t xml:space="preserve">Gobierno democrático institucionalizado: </w:t>
      </w:r>
      <w:r>
        <w:rPr>
          <w:rFonts w:ascii="Calibri" w:hAnsi="Calibri"/>
          <w:b w:val="0"/>
          <w:i w:val="0"/>
          <w:color w:val="1A2238"/>
          <w:sz w:val="21"/>
        </w:rPr>
        <w:t>Gobierno democrático en plena armonía con el Estado de derecho.</w:t>
      </w:r>
    </w:p>
    <w:p>
      <w:r>
        <w:rPr>
          <w:rFonts w:ascii="Calibri" w:hAnsi="Calibri"/>
          <w:b/>
          <w:i w:val="0"/>
          <w:color w:val="1A2238"/>
          <w:sz w:val="21"/>
        </w:rPr>
        <w:t xml:space="preserve">Crecimiento económico sostenido: </w:t>
      </w:r>
      <w:r>
        <w:rPr>
          <w:rFonts w:ascii="Calibri" w:hAnsi="Calibri"/>
          <w:b w:val="0"/>
          <w:i w:val="0"/>
          <w:color w:val="1A2238"/>
          <w:sz w:val="21"/>
        </w:rPr>
        <w:t>Crecimiento mínimo anual del 6% del PBI.</w:t>
      </w:r>
    </w:p>
    <w:p>
      <w:r>
        <w:rPr>
          <w:rFonts w:ascii="Calibri" w:hAnsi="Calibri"/>
          <w:b/>
          <w:i w:val="0"/>
          <w:color w:val="1A2238"/>
          <w:sz w:val="21"/>
        </w:rPr>
        <w:t xml:space="preserve">Presión tributaria progresiva: </w:t>
      </w:r>
      <w:r>
        <w:rPr>
          <w:rFonts w:ascii="Calibri" w:hAnsi="Calibri"/>
          <w:b w:val="0"/>
          <w:i w:val="0"/>
          <w:color w:val="1A2238"/>
          <w:sz w:val="21"/>
        </w:rPr>
        <w:t>Presión tributaria progresiva hasta lograr el 30% del PBI.</w:t>
      </w:r>
    </w:p>
    <w:p>
      <w:r>
        <w:rPr>
          <w:rFonts w:ascii="Calibri" w:hAnsi="Calibri"/>
          <w:b/>
          <w:i w:val="0"/>
          <w:color w:val="1A2238"/>
          <w:sz w:val="21"/>
        </w:rPr>
        <w:t xml:space="preserve">Organizaciones políticas sólidas: </w:t>
      </w:r>
      <w:r>
        <w:rPr>
          <w:rFonts w:ascii="Calibri" w:hAnsi="Calibri"/>
          <w:b w:val="0"/>
          <w:i w:val="0"/>
          <w:color w:val="1A2238"/>
          <w:sz w:val="21"/>
        </w:rPr>
        <w:t>Organizaciones políticas sólidas reconocidas por la sociedad.</w:t>
      </w:r>
    </w:p>
    <w:p>
      <w:r>
        <w:rPr>
          <w:rFonts w:ascii="Calibri" w:hAnsi="Calibri"/>
          <w:b/>
          <w:i w:val="0"/>
          <w:color w:val="1A2238"/>
          <w:sz w:val="21"/>
        </w:rPr>
        <w:t xml:space="preserve">Liderazgo transformador: </w:t>
      </w:r>
      <w:r>
        <w:rPr>
          <w:rFonts w:ascii="Calibri" w:hAnsi="Calibri"/>
          <w:b w:val="0"/>
          <w:i w:val="0"/>
          <w:color w:val="1A2238"/>
          <w:sz w:val="21"/>
        </w:rPr>
        <w:t>Liderazgo transformador de actores políticos y de funcionarios de carrera.</w:t>
      </w:r>
    </w:p>
    <w:p>
      <w:r>
        <w:rPr>
          <w:rFonts w:ascii="Calibri" w:hAnsi="Calibri"/>
          <w:b/>
          <w:i w:val="0"/>
          <w:color w:val="1A2238"/>
          <w:sz w:val="21"/>
        </w:rPr>
        <w:t xml:space="preserve">Cultura de planeamiento: </w:t>
      </w:r>
      <w:r>
        <w:rPr>
          <w:rFonts w:ascii="Calibri" w:hAnsi="Calibri"/>
          <w:b w:val="0"/>
          <w:i w:val="0"/>
          <w:color w:val="1A2238"/>
          <w:sz w:val="21"/>
        </w:rPr>
        <w:t>Cultura de planeamiento instalada en la gestión pública.</w:t>
      </w:r>
    </w:p>
    <w:p>
      <w:r>
        <w:rPr>
          <w:rFonts w:ascii="Calibri" w:hAnsi="Calibri"/>
          <w:b/>
          <w:i w:val="0"/>
          <w:color w:val="1A2238"/>
          <w:sz w:val="21"/>
        </w:rPr>
        <w:t xml:space="preserve">Educación cívica de la población: </w:t>
      </w:r>
      <w:r>
        <w:rPr>
          <w:rFonts w:ascii="Calibri" w:hAnsi="Calibri"/>
          <w:b w:val="0"/>
          <w:i w:val="0"/>
          <w:color w:val="1A2238"/>
          <w:sz w:val="21"/>
        </w:rPr>
        <w:t>Educación cívica de la población en principios y valores.</w:t>
      </w:r>
    </w:p>
    <w:p>
      <w:r>
        <w:rPr>
          <w:rFonts w:ascii="Calibri" w:hAnsi="Calibri"/>
          <w:b/>
          <w:i w:val="0"/>
          <w:color w:val="1A2238"/>
          <w:sz w:val="21"/>
        </w:rPr>
        <w:t xml:space="preserve">Administración de justicia ágil y eficaz: </w:t>
      </w:r>
      <w:r>
        <w:rPr>
          <w:rFonts w:ascii="Calibri" w:hAnsi="Calibri"/>
          <w:b w:val="0"/>
          <w:i w:val="0"/>
          <w:color w:val="1A2238"/>
          <w:sz w:val="21"/>
        </w:rPr>
        <w:t>Administración de justicia ágil y eficaz.</w:t>
      </w:r>
    </w:p>
    <w:p>
      <w:r>
        <w:rPr>
          <w:rFonts w:ascii="Calibri" w:hAnsi="Calibri"/>
          <w:b/>
          <w:i w:val="0"/>
          <w:color w:val="1A2238"/>
          <w:sz w:val="21"/>
        </w:rPr>
        <w:t xml:space="preserve">Sistema de Control eficiente: </w:t>
      </w:r>
      <w:r>
        <w:rPr>
          <w:rFonts w:ascii="Calibri" w:hAnsi="Calibri"/>
          <w:b w:val="0"/>
          <w:i w:val="0"/>
          <w:color w:val="1A2238"/>
          <w:sz w:val="21"/>
        </w:rPr>
        <w:t>Sistema de Control eficiente, sin injerencia de lo político partidario.</w:t>
      </w:r>
    </w:p>
    <w:p>
      <w:r>
        <w:rPr>
          <w:rFonts w:ascii="Calibri" w:hAnsi="Calibri"/>
          <w:b/>
          <w:i w:val="0"/>
          <w:color w:val="D91023"/>
          <w:sz w:val="26"/>
        </w:rPr>
        <w:t>Recomendación de política</w:t>
      </w:r>
    </w:p>
    <w:p>
      <w:r>
        <w:rPr>
          <w:rFonts w:ascii="Calibri" w:hAnsi="Calibri"/>
          <w:b w:val="0"/>
          <w:i w:val="0"/>
          <w:color w:val="1A2238"/>
          <w:sz w:val="21"/>
        </w:rPr>
        <w:t>Crear, como medida prioritaria, un ente rector de la Reforma del Estado dependiente de la Presidencia de la República, con autoridad y estabilidad para proponer e implementar las reformas del Poder Ejecutivo, el Congreso, los gobiernos regionales y locales, y los sistemas de Administración de Justicia, Control y Electoral, priorizando el capital humano competente y probo bajo meritocracia, la carrera pública con evaluación por resultados, la presión tributaria progresiva hasta el 30% del PBI y la erradicación sistemática de la corrupción.</w:t>
      </w:r>
    </w:p>
    <w:p/>
    <w:p>
      <w:r>
        <w:rPr>
          <w:rFonts w:ascii="Calibri" w:hAnsi="Calibri"/>
          <w:b w:val="0"/>
          <w:i/>
          <w:color w:val="5D6B88"/>
          <w:sz w:val="15"/>
        </w:rPr>
        <w:t>Documento potenciado a partir de la redacción de la comisión. Las cifras provienen del documento fuente y están sujetas a validación oficial. La silueta territorial es referencial.</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