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Ciencia y Tecnología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propone el modelo "Educación con Ciencia y Tecnología para la Producción y la Exportación" para transitar de un Perú extractivista a una nación industrializada basada en la "Minería del Conocimiento", articulando academia, Estado y empresa privada en torno a cuatro pilares.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4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2050 el Perú no solo extrae sus recursos, sino que los transforma y compite en los mercados globales con productos de alto valor agregado, emulando el milagro tecnológico de Japón, consolidando un capital humano de élite exportador de conocimiento y entrando al Top 20 de economías mundiales.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Crisis estructural de desarrollo productivo: pese a contar con inmensos recursos, el Perú exporta el 65% de su cobre como mineral crudo, perdiendo la oportunidad de multiplicar su valor en mercados de Alemania, China y Japón.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educativo fracturado: la SUNEDU solo supervisa el producto final (la universidad) e ignora la 'materia prima' que ingresa desde la educación básica.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Muchos niños sufren problemas de nutrición prenatal que afectan su desarrollo cerebral, y hay alta deserción escolar por necesidad laboral.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Pandemónium en la generación de tesis: los estudiantes eligen temas libres sin relevancia para el país, desperdiciando conocimiento y presupuesto; los graduados terminan subempleados (ej. manejando taxis) por falta de demanda industrial.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No existen verdaderos puentes entre la academia y el mercado; el país carece de empresarios manufactureros e innovación.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investigación no está institucionalizada y los pocos científicos peruanos migran al extranjero por falta de demanda e infraestructura.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Los proyectos nacionales se conciben de forma aislada, sin enfoque sistémico; falta legislar para obligar a dar valor agregado antes de exportar, como ya hicieron Indonesia, Rusia, Chile y Bolivia para proteger sus recursos (Níquel, Litio, Cobre).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en I+D proveniente del sector privado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3 / OE3 / Matriz Resumen (Estándar Japón)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Exportación de cobre como mineral crudo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Síntesis de la Situación Actual / OE4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Reducción de la exportación de cobre bruto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OE4.1 (reducción del 30%)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Deserción estudiantil por necesidad laboral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OE1 / Matriz Resumen (0% deserción mediante modalidades remotas)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Centralización de tesis (pre y posgrado) hacia proyectos industriales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Acción 2.1.1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Tesis orientadas a resolver demandas reales de empresas y exportación (meta 2040)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Acción 2.1.1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Primeros Parques Científicos y Tecnológicos operativos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parques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OE3.1 (Modelo Stanford)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Cadena de valor educativo: </w:t>
      </w:r>
      <w:r>
        <w:rPr>
          <w:rFonts w:ascii="Calibri" w:hAnsi="Calibri"/>
          <w:b w:val="0"/>
          <w:i w:val="0"/>
          <w:color w:val="1A2238"/>
          <w:sz w:val="21"/>
        </w:rPr>
        <w:t>Enfoque industrial aplicado a la educación que inicia en la etapa prenatal y se extiende hasta el posgrado, asegurando la formación del capital humano, con control de calidad (SUNEDU) en cada etapa del proceso y no solo al final.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Universidades del conocimiento: </w:t>
      </w:r>
      <w:r>
        <w:rPr>
          <w:rFonts w:ascii="Calibri" w:hAnsi="Calibri"/>
          <w:b w:val="0"/>
          <w:i w:val="0"/>
          <w:color w:val="1A2238"/>
          <w:sz w:val="21"/>
        </w:rPr>
        <w:t>Transformación de las universidades en centros de investigación y generación de conocimiento orientados a la demanda nacional e industrial, abandonando la proliferación de tesis desconectadas de la realidad; universidades como 'fábricas' de conocimiento y de empresarios.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Parques científicos y tecnológicos: </w:t>
      </w:r>
      <w:r>
        <w:rPr>
          <w:rFonts w:ascii="Calibri" w:hAnsi="Calibri"/>
          <w:b w:val="0"/>
          <w:i w:val="0"/>
          <w:color w:val="1A2238"/>
          <w:sz w:val="21"/>
        </w:rPr>
        <w:t>Creación de puentes entre la academia y el mercado mediante centros de innovación dentro de las universidades (modelo Stanford Research Park, 1951) para formar Empresas de Base Tecnológica (EBT).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Parques industriales y exportación sistémica: </w:t>
      </w:r>
      <w:r>
        <w:rPr>
          <w:rFonts w:ascii="Calibri" w:hAnsi="Calibri"/>
          <w:b w:val="0"/>
          <w:i w:val="0"/>
          <w:color w:val="1A2238"/>
          <w:sz w:val="21"/>
        </w:rPr>
        <w:t>Desarrollo de manufactura con valor agregado dirigida a mercados internacionales específicos (China, Japón, Alemania), aplicando planeamiento sistémico (Ingeniería de Sistemas) e integrando parque industrial con universidad, ferrocarril y puerto (ej. Chancay, polos mineros; modelo Mánchester 1896).</w:t>
      </w:r>
    </w:p>
    <w:p>
      <w:r>
        <w:rPr>
          <w:rFonts w:ascii="Calibri" w:hAnsi="Calibri"/>
          <w:b/>
          <w:i w:val="0"/>
          <w:color w:val="D91023"/>
          <w:sz w:val="26"/>
        </w:rPr>
        <w:t>Hoja de ruta · 100 primeros días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Aprobar y promulgar de manera urgente la Política Nacional de Ciencia y Tecnología (ley general transversal basada en el Modelo Japón 1987) que convierta a la Ciencia y Tecnología en la principal herramienta del Estado, fijando metas ambiciosas (Premios Nobel, patentes)</w:t>
      </w:r>
      <w:r>
        <w:rPr>
          <w:rFonts w:ascii="Calibri" w:hAnsi="Calibri"/>
          <w:b w:val="0"/>
          <w:i/>
          <w:color w:val="B8840E"/>
          <w:sz w:val="17"/>
        </w:rPr>
        <w:t xml:space="preserve">  [ley/regulación]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Reestructurar normativamente la SUNEDU modificando la ley de educación para que la supervisión de la calidad audite toda la cadena de valor educativo ('como una faja industrial'), desde la cuna y no solo el pre y posgrado</w:t>
      </w:r>
      <w:r>
        <w:rPr>
          <w:rFonts w:ascii="Calibri" w:hAnsi="Calibri"/>
          <w:b w:val="0"/>
          <w:i/>
          <w:color w:val="B8840E"/>
          <w:sz w:val="17"/>
        </w:rPr>
        <w:t xml:space="preserve">  [ley/regulación (orientación)]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Presentar y enviar al Congreso el Proyecto de Ley de Restricción Gradual a la Exportación de Materia Prima Cruda, que obligue en plazos definidos a que los contratos mineros incorporen cuotas de industrialización y fundición local antes de exportar a mercados de Asia y Europa</w:t>
      </w:r>
      <w:r>
        <w:rPr>
          <w:rFonts w:ascii="Calibri" w:hAnsi="Calibri"/>
          <w:b w:val="0"/>
          <w:i/>
          <w:color w:val="B8840E"/>
          <w:sz w:val="17"/>
        </w:rPr>
        <w:t xml:space="preserve">  [ley/regulación]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la deserción técnica/estudiantil a 0% mediante validación universitaria y educación a distancia, consolidando un capital humano de élite exportador de conocimiento.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Centralizar el 100% de las tesis en centros de innovación para su comercialización directa a la industria al 2030, con un sistema académico peruano que lidere el registro de patentes y EBTs en Sudamérica.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que el 80% de la inversión en I+D provenga de empresas privadas (estándar Japón), con todas las universidades clave operando parques de investigación en sus campus.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drásticamente la exportación de cobre crudo del 65% actual, reemplazándola por componentes de valor agregado, exportando productos tecnológicos y materias primas 100% procesadas a los principales mercados del mundo y entrando al Top 20 de economías mundiales.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Eliminar totalmente el modelo primario exportador extractivista, con complejos operando bajo enfoque sistémico Puerto-Ferrocarril-Industria.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Reestructuración del Sistema de Supervisión Educativa (SUNEDU Integral): ampliar las facultades de calidad educativa para auditar insumos y procesos desde inicial, primaria, secundaria e institutos superiores tecnológicos (control de calidad de toda la cadena, modelo Deming).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Programa de Protección Prenatal y Nutrición Temprana: garantizar alimentación y medicina desde la gestación a través de las alcaldías para asegurar el desarrollo cognitivo.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Implementación de educación a distancia y convalidación técnica para ingreso directo a universidades y cobertura digital en zonas mineras/industriales.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Creación del Centro de Coordinación de Tesis de Interés Nacional: norma que obligue a alinear proyectos de grado, maestrías y doctorados con las necesidades de los sectores productivos regionales (minería, agroindustria).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Ley de Fomento de Parques Tecnológicos Universitarios: marco normativo para ceder espacios en universidades públicas destinados a instalar empresas científicas y de innovación (EBT), modelo Stanford Research Park.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Legislación para el Valor Agregado Obligatorio: dispositivos legales que restrinjan o graven la exportación de materia prima bruta, obligando a instalar fundiciones y manufactura local (modelo Indonesia/Bolivia/Chile/Rusia).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Especialización multicultural hacia mercados de alto consumo: incorporación de idiomas estratégicos (chino, japonés, alemán) en zonas industriales exportadoras.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Aprobar de manera urgente una Política Nacional de Ciencia y Tecnología (basada en el Modelo Japón 1987) mediante una ley general transversal que convierta a la Ciencia y Tecnología en la principal herramienta del Estado, fijando metas ambiciosas (Premios Nobel, patentes), pues es indispensable para orientar el resto del presupuesto nacional.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