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i w:val="0"/>
          <w:color w:val="B8840E"/>
          <w:sz w:val="22"/>
        </w:rPr>
        <w:t>PLAN PERÚ 2050</w:t>
      </w:r>
      <w:r>
        <w:br/>
      </w:r>
      <w:r>
        <w:rPr>
          <w:rFonts w:ascii="Calibri" w:hAnsi="Calibri"/>
          <w:b w:val="0"/>
          <w:i w:val="0"/>
          <w:color w:val="5D6B88"/>
          <w:sz w:val="18"/>
        </w:rPr>
        <w:t>Comisión Temática Nacional · CNPP — Colegio de Ingenieros del Perú</w:t>
      </w:r>
    </w:p>
    <w:p>
      <w:r>
        <w:rPr>
          <w:rFonts w:ascii="Calibri" w:hAnsi="Calibri"/>
          <w:b/>
          <w:i w:val="0"/>
          <w:color w:val="D91023"/>
          <w:sz w:val="48"/>
        </w:rPr>
        <w:t>Perú en la Era Digital</w:t>
      </w:r>
    </w:p>
    <w:p>
      <w:r>
        <w:rPr>
          <w:rFonts w:ascii="Calibri" w:hAnsi="Calibri"/>
          <w:b w:val="0"/>
          <w:i/>
          <w:color w:val="5D6B88"/>
          <w:sz w:val="21"/>
        </w:rPr>
        <w:t>Eje estratégico: Infraestructura y Conectividad</w:t>
      </w:r>
    </w:p>
    <w:p>
      <w:r>
        <w:rPr>
          <w:rFonts w:ascii="Calibri" w:hAnsi="Calibri"/>
          <w:b w:val="0"/>
          <w:i w:val="0"/>
          <w:color w:val="1A2238"/>
          <w:sz w:val="23"/>
        </w:rPr>
        <w:t>La comisión propone abordar a Perú en la era digital al 2050 mediante seis ejes estratégicos alineados a los cuatro Objetivos Nacionales del PEDN 2050, entendiendo la era digital como un fenómeno transversal de desarrollo y no como una agenda meramente tecnológica.</w:t>
      </w:r>
    </w:p>
    <w:p>
      <w:r>
        <w:rPr>
          <w:rFonts w:ascii="Calibri" w:hAnsi="Calibri"/>
          <w:b/>
          <w:i w:val="0"/>
          <w:color w:val="D91023"/>
          <w:sz w:val="26"/>
        </w:rPr>
        <w:t>Síntesis cuantitativa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11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Indicadores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6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Pilares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7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Metas 2050</w:t>
            </w:r>
          </w:p>
        </w:tc>
        <w:tc>
          <w:tcPr>
            <w:tcW w:type="dxa" w:w="2484"/>
            <w:shd w:fill="F4F6FB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D91023"/>
                <w:sz w:val="36"/>
              </w:rPr>
              <w:t>—</w:t>
              <w:br/>
            </w:r>
            <w:r>
              <w:rPr>
                <w:rFonts w:ascii="Calibri" w:hAnsi="Calibri"/>
                <w:b w:val="0"/>
                <w:i w:val="0"/>
                <w:color w:val="5D6B88"/>
                <w:sz w:val="17"/>
              </w:rPr>
              <w:t>Avance estimado</w:t>
            </w:r>
          </w:p>
        </w:tc>
      </w:tr>
    </w:tbl>
    <w:p>
      <w:r>
        <w:rPr>
          <w:rFonts w:ascii="Calibri" w:hAnsi="Calibri"/>
          <w:b/>
          <w:i w:val="0"/>
          <w:color w:val="D91023"/>
          <w:sz w:val="26"/>
        </w:rPr>
        <w:t>Visión 2050</w:t>
      </w:r>
    </w:p>
    <w:p>
      <w:r>
        <w:rPr>
          <w:rFonts w:ascii="Calibri" w:hAnsi="Calibri"/>
          <w:b w:val="0"/>
          <w:i w:val="0"/>
          <w:color w:val="1A2238"/>
          <w:sz w:val="21"/>
        </w:rPr>
        <w:t>Un "Perú digital inclusivo, productivo y confiable al 2050": un país que aprovecha la era digital para cerrar brechas sociales y territoriales, elevar la productividad, fortalecer la democracia, mejorar los servicios públicos y desarrollar capacidades humanas para una sociedad basada en el conocimiento, donde personas, empresas, instituciones y territorios participen de forma segura, inclusiva y sostenible en la vida digital.</w:t>
      </w:r>
    </w:p>
    <w:p>
      <w:r>
        <w:rPr>
          <w:rFonts w:ascii="Calibri" w:hAnsi="Calibri"/>
          <w:b/>
          <w:i w:val="0"/>
          <w:color w:val="D91023"/>
          <w:sz w:val="26"/>
        </w:rPr>
        <w:t>Diagnóstico — brecha 2026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Conectividad domiciliaria no universal: solo 58.9% de hogares con Internet en el primer trimestre de 2025 (INEI), pese a que 95.6% cuenta con al menos una TIC.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Brecha territorial crítica: Lima Metropolitana 80.3%, resto urbano 60.7% y área rural solo 20.5% de hogares con Internet; persisten zonas rurales, amazónicas, altoandinas y periurbanas rezagadas.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Uso de Internet alto pero ciudadanía digital limitada: 77.7% de la población de 6 y más años usó Internet en el primer trimestre de 2024, pero persisten brechas en competencias, seguridad, pensamiento crítico y habilidades para IA.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Adopción digital desigual en mipymes y regiones; la digitalización aún no se traduce en productividad, formalización, innovación ni empleo decente.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Estado digital incipiente: la PNTD 2030 impulsa gobierno digital e interoperabilidad, pero falta consolidar servicios de extremo a extremo y gobernanza de datos.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Capacidades institucionales de confianza digital y ciberseguridad que deben madurar.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Adopción de IA, IoT, analítica avanzada y automatización creciente pero fragmentada, sin estrategia nacional integral.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Contexto global: ~2.2 mil millones de personas siguen fuera de Internet (ITU 2025), riesgo de profundizar desigualdades si no se actúa sobre conectividad significativa, talento y confianza.</w:t>
      </w:r>
    </w:p>
    <w:p>
      <w:r>
        <w:rPr>
          <w:rFonts w:ascii="Calibri" w:hAnsi="Calibri"/>
          <w:b/>
          <w:i w:val="0"/>
          <w:color w:val="D91023"/>
          <w:sz w:val="26"/>
        </w:rPr>
        <w:t>Indicadores: hoy → meta 2050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Hoy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Meta 2050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Unidad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% avance</w:t>
            </w:r>
          </w:p>
        </w:tc>
        <w:tc>
          <w:tcPr>
            <w:tcW w:type="dxa" w:w="1656"/>
            <w:shd w:fill="D91023"/>
          </w:tcPr>
          <w:p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Fuente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Hogares con acceso a Internet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58.9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INEI 2025 (primer trimestre); valor óptimo 2050 referencial (cobertura/conectividad signif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Hogares con acceso a Internet - Lima Metropolitana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80.3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INEI 2025 (primer trimestre)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Hogares con acceso a Internet - resto urbano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60.7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INEI 2025 (primer trimestre)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Hogares con acceso a Internet - área rural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20.5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INEI 2025 (primer trimestre)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Hogares con al menos una TIC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95.6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INEI 2025 (primer trimestre)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Población de 6 y más años que usó Internet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77.7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INEI 2024 (primer trimestre)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Adultos con competencias digitales básicas o intermedias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90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Valor óptimo referencial; hitos intermedios: 60% al 2040 (matriz resumen)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Mipymes formales con adopción digital productiva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70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Valor óptimo referencial; hitos intermedios: 40% al 2040 (matriz resumen)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Servicios públicos priorizados disponibles de extremo a extremo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90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Valor óptimo referencial; hitos intermedios: 60% al 2040 (matriz resumen)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Capitales distritales con servicios digitales esenciales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Valor óptimo referencial (escenario al 2050)</w:t>
            </w:r>
          </w:p>
        </w:tc>
      </w:tr>
      <w:tr>
        <w:tc>
          <w:tcPr>
            <w:tcW w:type="dxa" w:w="1656"/>
          </w:tcPr>
          <w:p>
            <w:r>
              <w:rPr>
                <w:rFonts w:ascii="Calibri" w:hAnsi="Calibri"/>
                <w:b/>
                <w:i w:val="0"/>
                <w:color w:val="1A2238"/>
                <w:sz w:val="16"/>
              </w:rPr>
              <w:t>Instituciones educativas y centros de salud conectados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s/d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100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%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—</w:t>
            </w:r>
          </w:p>
        </w:tc>
        <w:tc>
          <w:tcPr>
            <w:tcW w:type="dxa" w:w="1656"/>
          </w:tcPr>
          <w:p>
            <w:r>
              <w:rPr>
                <w:rFonts w:ascii="Calibri" w:hAnsi="Calibri"/>
                <w:b w:val="0"/>
                <w:i w:val="0"/>
                <w:color w:val="1A2238"/>
                <w:sz w:val="16"/>
              </w:rPr>
              <w:t>Valor óptimo referencial (escenario al 2050)</w:t>
            </w:r>
          </w:p>
        </w:tc>
      </w:tr>
    </w:tbl>
    <w:p>
      <w:r>
        <w:rPr>
          <w:rFonts w:ascii="Calibri" w:hAnsi="Calibri"/>
          <w:b/>
          <w:i w:val="0"/>
          <w:color w:val="D91023"/>
          <w:sz w:val="26"/>
        </w:rPr>
        <w:t>Pilares de la estrategia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Ciudadanía, capacidades y bienestar digital: </w:t>
      </w:r>
      <w:r>
        <w:rPr>
          <w:rFonts w:ascii="Calibri" w:hAnsi="Calibri"/>
          <w:b w:val="0"/>
          <w:i w:val="0"/>
          <w:color w:val="1A2238"/>
          <w:sz w:val="21"/>
        </w:rPr>
        <w:t>Población con competencias digitales, alfabetización en IA, uso crítico de información y acceso inclusivo a educación, salud y servicios digitales (vinculado a ON1).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Infraestructura, conectividad significativa y territorio inteligente: </w:t>
      </w:r>
      <w:r>
        <w:rPr>
          <w:rFonts w:ascii="Calibri" w:hAnsi="Calibri"/>
          <w:b w:val="0"/>
          <w:i w:val="0"/>
          <w:color w:val="1A2238"/>
          <w:sz w:val="21"/>
        </w:rPr>
        <w:t>Conectividad de calidad en todo el territorio, con redes resilientes, nube, centros de datos, interoperabilidad y monitoreo territorial basado en datos (vinculado a ON2).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Economía digital, productividad e innovación: </w:t>
      </w:r>
      <w:r>
        <w:rPr>
          <w:rFonts w:ascii="Calibri" w:hAnsi="Calibri"/>
          <w:b w:val="0"/>
          <w:i w:val="0"/>
          <w:color w:val="1A2238"/>
          <w:sz w:val="21"/>
        </w:rPr>
        <w:t>Empresas, mipymes, startups y sectores productivos que usan plataformas, IA, automatización, datos y comercio digital para elevar productividad y competitividad (vinculado a ON3).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Estado digital, servicios públicos e interoperabilidad: </w:t>
      </w:r>
      <w:r>
        <w:rPr>
          <w:rFonts w:ascii="Calibri" w:hAnsi="Calibri"/>
          <w:b w:val="0"/>
          <w:i w:val="0"/>
          <w:color w:val="1A2238"/>
          <w:sz w:val="21"/>
        </w:rPr>
        <w:t>Estado interoperable, predictivo, empático y orientado al ciudadano, con servicios digitales de extremo a extremo y decisiones basadas en datos (vinculado a ON4).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Gobernanza, confianza, ciberseguridad y derechos digitales: </w:t>
      </w:r>
      <w:r>
        <w:rPr>
          <w:rFonts w:ascii="Calibri" w:hAnsi="Calibri"/>
          <w:b w:val="0"/>
          <w:i w:val="0"/>
          <w:color w:val="1A2238"/>
          <w:sz w:val="21"/>
        </w:rPr>
        <w:t>Marco institucional que protege datos, derechos digitales, seguridad, ética de IA y confianza pública en el entorno digital (vinculado a ON4 y transversal).</w:t>
      </w:r>
    </w:p>
    <w:p>
      <w:r>
        <w:rPr>
          <w:rFonts w:ascii="Calibri" w:hAnsi="Calibri"/>
          <w:b/>
          <w:i w:val="0"/>
          <w:color w:val="1A2238"/>
          <w:sz w:val="21"/>
        </w:rPr>
        <w:t xml:space="preserve">Tecnologías emergentes, inteligencia artificial y sostenibilidad: </w:t>
      </w:r>
      <w:r>
        <w:rPr>
          <w:rFonts w:ascii="Calibri" w:hAnsi="Calibri"/>
          <w:b w:val="0"/>
          <w:i w:val="0"/>
          <w:color w:val="1A2238"/>
          <w:sz w:val="21"/>
        </w:rPr>
        <w:t>Uso de IA, IoT, blockchain, analítica, automatización, gemelos digitales y tecnologías verdes para resolver problemas nacionales (vinculado a ON2 y ON3).</w:t>
      </w:r>
    </w:p>
    <w:p>
      <w:r>
        <w:rPr>
          <w:rFonts w:ascii="Calibri" w:hAnsi="Calibri"/>
          <w:b/>
          <w:i w:val="0"/>
          <w:color w:val="D91023"/>
          <w:sz w:val="26"/>
        </w:rPr>
        <w:t>Hoja de ruta · 100 primeros días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Crear e instalar la Comisión Multisectorial "Perú en la Era Digital al 2050", espacio de gobernanza de alto nivel con PCM, CEPLAN, MTC, MINEDU, MINSA, PRODUCE, MEF, RENIEC, academia, sector privado y sociedad civil</w:t>
      </w:r>
      <w:r>
        <w:rPr>
          <w:rFonts w:ascii="Calibri" w:hAnsi="Calibri"/>
          <w:b w:val="0"/>
          <w:i/>
          <w:color w:val="B8840E"/>
          <w:sz w:val="17"/>
        </w:rPr>
        <w:t xml:space="preserve">  [institucional]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Aprobar una hoja de ruta preliminar de Era Digital 2050 que defina visión, ejes, indicadores, responsabilidades, metas 2030-2040-2050 y cartera de iniciativas estratégicas</w:t>
      </w:r>
      <w:r>
        <w:rPr>
          <w:rFonts w:ascii="Calibri" w:hAnsi="Calibri"/>
          <w:b w:val="0"/>
          <w:i/>
          <w:color w:val="B8840E"/>
          <w:sz w:val="17"/>
        </w:rPr>
        <w:t xml:space="preserve">  [programa]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Levantar el mapa nacional de brechas digitales críticas, identificando brechas de conectividad, competencias, servicios públicos, datos, ciberseguridad y adopción digital productiva por región</w:t>
      </w:r>
      <w:r>
        <w:rPr>
          <w:rFonts w:ascii="Calibri" w:hAnsi="Calibri"/>
          <w:b w:val="0"/>
          <w:i/>
          <w:color w:val="B8840E"/>
          <w:sz w:val="17"/>
        </w:rPr>
        <w:t xml:space="preserve">  [institucional]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Seleccionar 10 servicios públicos digitales críticos de alto impacto ciudadano para convertirlos en servicios digitales de extremo a extremo</w:t>
      </w:r>
      <w:r>
        <w:rPr>
          <w:rFonts w:ascii="Calibri" w:hAnsi="Calibri"/>
          <w:b w:val="0"/>
          <w:i/>
          <w:color w:val="B8840E"/>
          <w:sz w:val="17"/>
        </w:rPr>
        <w:t xml:space="preserve">  [programa]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Lanzar pilotos de alfabetización en IA y ciudadanía digital en colegios, institutos, universidades, centros de empleo y comunidades vulnerables</w:t>
      </w:r>
      <w:r>
        <w:rPr>
          <w:rFonts w:ascii="Calibri" w:hAnsi="Calibri"/>
          <w:b w:val="0"/>
          <w:i/>
          <w:color w:val="B8840E"/>
          <w:sz w:val="17"/>
        </w:rPr>
        <w:t xml:space="preserve">  [programa]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Diseñar el Programa Nacional de IA para Problemas Públicos, seleccionando casos de uso en salud, educación, ambiente, seguridad, agricultura, justicia y trámites</w:t>
      </w:r>
      <w:r>
        <w:rPr>
          <w:rFonts w:ascii="Calibri" w:hAnsi="Calibri"/>
          <w:b w:val="0"/>
          <w:i/>
          <w:color w:val="B8840E"/>
          <w:sz w:val="17"/>
        </w:rPr>
        <w:t xml:space="preserve">  [programa]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Formular el marco inicial de gobernanza ética de IA y datos, estableciendo principios de transparencia, privacidad, seguridad, no discriminación, auditoría y rendición de cuentas</w:t>
      </w:r>
      <w:r>
        <w:rPr>
          <w:rFonts w:ascii="Calibri" w:hAnsi="Calibri"/>
          <w:b w:val="0"/>
          <w:i/>
          <w:color w:val="B8840E"/>
          <w:sz w:val="17"/>
        </w:rPr>
        <w:t xml:space="preserve">  [regulación]</w:t>
      </w:r>
    </w:p>
    <w:p>
      <w:r>
        <w:rPr>
          <w:rFonts w:ascii="Calibri" w:hAnsi="Calibri"/>
          <w:b/>
          <w:i w:val="0"/>
          <w:color w:val="D91023"/>
          <w:sz w:val="26"/>
        </w:rPr>
        <w:t>Metas 2050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Al 2050, 90% de adultos con competencias digitales básicas o intermedias y alfabetización en IA incorporada en el sistema educativo (básica, técnica y superior).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Al 2050, conectividad significativa universal en instituciones públicas, hogares y territorios priorizados; 100% de capitales distritales con servicios digitales esenciales; instituciones educativas y centros de salud conectados al 100%.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Al 2050, 70% de mipymes formales con adopción digital productiva y uso de plataformas, datos o IA; ecosistemas regionales de innovación digital.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Al 2050, 90% de servicios públicos priorizados disponibles de extremo a extremo; identidad digital e interoperabilidad plenamente implementadas y reducción significativa de costos de transacción ciudadana.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Al 2050, sistema nacional de confianza digital maduro, con capacidades permanentes de ciberseguridad, prevención y respuesta, y regulación ética y transparente para IA y datos.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Al 2050, soluciones de IA y datos implementadas en salud, educación, ambiente, agricultura, justicia, logística y gestión de riesgos, con criterios de sostenibilidad digital en infraestructura y compras públicas.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Sistemas de monitoreo ambiental, climático y de riesgos funcionando en tiempo real.</w:t>
      </w:r>
    </w:p>
    <w:p>
      <w:r>
        <w:rPr>
          <w:rFonts w:ascii="Calibri" w:hAnsi="Calibri"/>
          <w:b/>
          <w:i w:val="0"/>
          <w:color w:val="D91023"/>
          <w:sz w:val="26"/>
        </w:rPr>
        <w:t>Acciones e iniciativas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Educación digital e IA: actualizar el currículo escolar, técnico y universitario con competencias digitales, pensamiento computacional, alfabetización en IA, ética digital y seguridad en línea (AE1.1).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Inclusión digital social focalizada para adultos mayores, mujeres, personas con discapacidad, población rural, pueblos indígenas y jóvenes fuera del sistema educativo (AE1.2).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Salud y bienestar digital: telesalud, historia clínica digital interoperable y analítica para atención primaria (AE1.3).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Plan nacional de conectividad significativa para hogares, escuelas, centros de salud, comisarías, municipalidades y espacios públicos comunitarios (AE2.1).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Infraestructura digital territorial: fibra, 5G/6G, nube pública, centros de datos resilientes y nodos regionales de interoperabilidad (AE2.2).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Territorio inteligente y datos geoespaciales: sensores, imágenes satelitales, gemelos digitales y analítica para gestionar riesgos, agua, ambiente, ciudades y transporte (AE2.3).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Digitalización productiva de mipymes con paquetes de adopción (facturación, pagos, comercio electrónico, CRM, logística, analítica e IA) (AE3.1).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Ecosistemas regionales de innovación digital: hubs regionales, laboratorios de IA, centros de transferencia tecnológica y alianzas empresa-universidad-Estado (AE3.2).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Empleo y reconversión laboral digital: programas de reskilling y upskilling para trabajadores expuestos a automatización e IA generativa (AE3.3).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Servicios públicos digitales de extremo a extremo en identidad, salud, educación, justicia, seguridad, programas sociales, licencias y permisos (AE4.1).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Gobierno y arquitectura de datos públicos: catálogo nacional de datos, estándares de calidad e interoperabilidad, datos maestros, analítica pública y tableros de seguimiento del PEDN (AE4.2).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Identidad digital e interoperabilidad universal: identidad segura, firma digital, expediente digital e interoperabilidad entre niveles de gobierno (AE4.3).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Marco nacional de confianza digital al 2050: actualizar normas de ciberseguridad, protección de datos, identidad digital, derechos digitales, seguridad infantil y ética de IA (AE5.1).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Centro nacional de resiliencia y respuesta digital ante incidentes cibernéticos en Estado, infraestructura crítica y servicios esenciales (AE5.2).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Gobernanza ética de IA y algoritmos públicos: estándares de transparencia, explicabilidad, auditoría, gestión de sesgos y evaluación de impacto (AE5.3).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Misiones nacionales de IA para problemas públicos en salud, educación, agricultura, clima, justicia, seguridad ciudadana, logística e informalidad (AE6.1).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Sandbox regulatorio para tecnologías emergentes (IA, fintech, govtech, healthtech, edtech, blockchain, IoT, automatización) (AE6.2).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Sostenibilidad digital y compras públicas verdes: eficiencia energética, economía circular, huella de carbono digital y gestión de residuos electrónicos (AE6.3).</w:t>
      </w:r>
    </w:p>
    <w:p>
      <w:pPr>
        <w:pStyle w:val="ListBullet"/>
      </w:pPr>
      <w:r>
        <w:rPr>
          <w:rFonts w:ascii="Calibri" w:hAnsi="Calibri"/>
          <w:b w:val="0"/>
          <w:i w:val="0"/>
          <w:color w:val="1A2238"/>
          <w:sz w:val="21"/>
        </w:rPr>
        <w:t>Hitos de 100 días: levantar el mapa nacional de brechas digitales críticas, seleccionar 10 servicios públicos digitales críticos, lanzar pilotos de alfabetización en IA y diseñar el Programa Nacional de IA para Problemas Públicos.</w:t>
      </w:r>
    </w:p>
    <w:p>
      <w:r>
        <w:rPr>
          <w:rFonts w:ascii="Calibri" w:hAnsi="Calibri"/>
          <w:b/>
          <w:i w:val="0"/>
          <w:color w:val="D91023"/>
          <w:sz w:val="26"/>
        </w:rPr>
        <w:t>Recomendación de política</w:t>
      </w:r>
    </w:p>
    <w:p>
      <w:r>
        <w:rPr>
          <w:rFonts w:ascii="Calibri" w:hAnsi="Calibri"/>
          <w:b w:val="0"/>
          <w:i w:val="0"/>
          <w:color w:val="1A2238"/>
          <w:sz w:val="21"/>
        </w:rPr>
        <w:t>Usar como matriz principal la relación entre los cuatro Objetivos Nacionales del PEDN 2050 y los seis ejes propuestos de la era digital, evitando reducir el trabajo a transformación digital; e instalar en los primeros 100 días una Comisión Multisectorial "Perú en la Era Digital al 2050" (PCM, CEPLAN, MTC, MINEDU, MINSA, PRODUCE, MEF, RENIEC, academia, sector privado y sociedad civil) como espacio de gobernanza de alto nivel para articular PEDN, PNTD 2030 y eLAC2026.</w:t>
      </w:r>
    </w:p>
    <w:p/>
    <w:p>
      <w:r>
        <w:rPr>
          <w:rFonts w:ascii="Calibri" w:hAnsi="Calibri"/>
          <w:b w:val="0"/>
          <w:i/>
          <w:color w:val="5D6B88"/>
          <w:sz w:val="15"/>
        </w:rPr>
        <w:t>Documento potenciado a partir de la redacción de la comisión. Las cifras provienen del documento fuente y están sujetas a validación oficial. La silueta territorial es referencial.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