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B8840E"/>
          <w:sz w:val="22"/>
        </w:rPr>
        <w:t>PLAN PERÚ 2050</w:t>
      </w:r>
      <w:r>
        <w:br/>
      </w:r>
      <w:r>
        <w:rPr>
          <w:rFonts w:ascii="Calibri" w:hAnsi="Calibri"/>
          <w:b w:val="0"/>
          <w:i w:val="0"/>
          <w:color w:val="5D6B88"/>
          <w:sz w:val="18"/>
        </w:rPr>
        <w:t>Comisión Temática Nacional · CNPP — Colegio de Ingenieros del Perú</w:t>
      </w:r>
    </w:p>
    <w:p>
      <w:r>
        <w:rPr>
          <w:rFonts w:ascii="Calibri" w:hAnsi="Calibri"/>
          <w:b/>
          <w:i w:val="0"/>
          <w:color w:val="D91023"/>
          <w:sz w:val="48"/>
        </w:rPr>
        <w:t>Acuicultura y Pesca</w:t>
      </w:r>
    </w:p>
    <w:p>
      <w:r>
        <w:rPr>
          <w:rFonts w:ascii="Calibri" w:hAnsi="Calibri"/>
          <w:b w:val="0"/>
          <w:i/>
          <w:color w:val="5D6B88"/>
          <w:sz w:val="21"/>
        </w:rPr>
        <w:t>Eje estratégico: Sostenibilidad y Ambiente</w:t>
      </w:r>
    </w:p>
    <w:p>
      <w:r>
        <w:rPr>
          <w:rFonts w:ascii="Calibri" w:hAnsi="Calibri"/>
          <w:b w:val="0"/>
          <w:i w:val="0"/>
          <w:color w:val="1A2238"/>
          <w:sz w:val="23"/>
        </w:rPr>
        <w:t>Documento de la Comisión Temática "Acuicultura y Pesca" del Plan Perú 2040 (CNPP / CIP). Diagnostica una acuicultura peruana mal orientada, retraída e incipiente comparada con la región, concentrada en pocas especies (concha de abanico, langostino, trucha, tilapia y peces amazónicos), sin plan de largo plazo integrado, con escasa investigación, débil interés de banca y empresa privada, dependencia de insumos importados (semilla y alimento), e injerencia política. Frente a ello, propone una visión al 2040 de una sociedad basada en la economía de la creatividad que aprovecha su biodiversidad, con la acuicultura como proveedora de proteína y oferta exportable con valor agregado. Articula 8 objetivos estratégicos, una base de desarrollo, factores clave de éxito, riesgos, involucrados y proyectos priorizados, todo condicionado a una previa Reforma del Estado y a la creación de un Instituto Nacional de Acuicultura.</w:t>
      </w:r>
    </w:p>
    <w:p>
      <w:r>
        <w:rPr>
          <w:rFonts w:ascii="Calibri" w:hAnsi="Calibri"/>
          <w:b/>
          <w:i w:val="0"/>
          <w:color w:val="D91023"/>
          <w:sz w:val="26"/>
        </w:rPr>
        <w:t>Síntesis cuantitativa</w:t>
      </w:r>
    </w:p>
    <w:tbl>
      <w:tblPr>
        <w:tblW w:type="auto" w:w="0"/>
        <w:jc w:val="center"/>
        <w:tblLook w:firstColumn="1" w:firstRow="1" w:lastColumn="0" w:lastRow="0" w:noHBand="0" w:noVBand="1" w:val="04A0"/>
      </w:tblPr>
      <w:tblGrid>
        <w:gridCol w:w="2484"/>
        <w:gridCol w:w="2484"/>
        <w:gridCol w:w="2484"/>
        <w:gridCol w:w="2484"/>
      </w:tblGrid>
      <w:tr>
        <w:tc>
          <w:tcPr>
            <w:tcW w:type="dxa" w:w="2484"/>
            <w:shd w:fill="F4F6FB"/>
          </w:tcPr>
          <w:p>
            <w:pPr>
              <w:jc w:val="center"/>
            </w:pPr>
            <w:r>
              <w:rPr>
                <w:rFonts w:ascii="Calibri" w:hAnsi="Calibri"/>
                <w:b/>
                <w:i w:val="0"/>
                <w:color w:val="D91023"/>
                <w:sz w:val="36"/>
              </w:rPr>
              <w:t>8</w:t>
              <w:br/>
            </w:r>
            <w:r>
              <w:rPr>
                <w:rFonts w:ascii="Calibri" w:hAnsi="Calibri"/>
                <w:b w:val="0"/>
                <w:i w:val="0"/>
                <w:color w:val="5D6B88"/>
                <w:sz w:val="17"/>
              </w:rPr>
              <w:t>Indicadores</w:t>
            </w:r>
          </w:p>
        </w:tc>
        <w:tc>
          <w:tcPr>
            <w:tcW w:type="dxa" w:w="2484"/>
            <w:shd w:fill="F4F6FB"/>
          </w:tcPr>
          <w:p>
            <w:pPr>
              <w:jc w:val="center"/>
            </w:pPr>
            <w:r>
              <w:rPr>
                <w:rFonts w:ascii="Calibri" w:hAnsi="Calibri"/>
                <w:b/>
                <w:i w:val="0"/>
                <w:color w:val="D91023"/>
                <w:sz w:val="36"/>
              </w:rPr>
              <w:t>8</w:t>
              <w:br/>
            </w:r>
            <w:r>
              <w:rPr>
                <w:rFonts w:ascii="Calibri" w:hAnsi="Calibri"/>
                <w:b w:val="0"/>
                <w:i w:val="0"/>
                <w:color w:val="5D6B88"/>
                <w:sz w:val="17"/>
              </w:rPr>
              <w:t>Pilares</w:t>
            </w:r>
          </w:p>
        </w:tc>
        <w:tc>
          <w:tcPr>
            <w:tcW w:type="dxa" w:w="2484"/>
            <w:shd w:fill="F4F6FB"/>
          </w:tcPr>
          <w:p>
            <w:pPr>
              <w:jc w:val="center"/>
            </w:pPr>
            <w:r>
              <w:rPr>
                <w:rFonts w:ascii="Calibri" w:hAnsi="Calibri"/>
                <w:b/>
                <w:i w:val="0"/>
                <w:color w:val="D91023"/>
                <w:sz w:val="36"/>
              </w:rPr>
              <w:t>11</w:t>
              <w:br/>
            </w:r>
            <w:r>
              <w:rPr>
                <w:rFonts w:ascii="Calibri" w:hAnsi="Calibri"/>
                <w:b w:val="0"/>
                <w:i w:val="0"/>
                <w:color w:val="5D6B88"/>
                <w:sz w:val="17"/>
              </w:rPr>
              <w:t>Metas 2050</w:t>
            </w:r>
          </w:p>
        </w:tc>
        <w:tc>
          <w:tcPr>
            <w:tcW w:type="dxa" w:w="2484"/>
            <w:shd w:fill="F4F6FB"/>
          </w:tcPr>
          <w:p>
            <w:pPr>
              <w:jc w:val="center"/>
            </w:pPr>
            <w:r>
              <w:rPr>
                <w:rFonts w:ascii="Calibri" w:hAnsi="Calibri"/>
                <w:b/>
                <w:i w:val="0"/>
                <w:color w:val="D91023"/>
                <w:sz w:val="36"/>
              </w:rPr>
              <w:t>—</w:t>
              <w:br/>
            </w:r>
            <w:r>
              <w:rPr>
                <w:rFonts w:ascii="Calibri" w:hAnsi="Calibri"/>
                <w:b w:val="0"/>
                <w:i w:val="0"/>
                <w:color w:val="5D6B88"/>
                <w:sz w:val="17"/>
              </w:rPr>
              <w:t>Avance estimado</w:t>
            </w:r>
          </w:p>
        </w:tc>
      </w:tr>
    </w:tbl>
    <w:p>
      <w:r>
        <w:rPr>
          <w:rFonts w:ascii="Calibri" w:hAnsi="Calibri"/>
          <w:b/>
          <w:i w:val="0"/>
          <w:color w:val="D91023"/>
          <w:sz w:val="26"/>
        </w:rPr>
        <w:t>Visión 2050</w:t>
      </w:r>
    </w:p>
    <w:p>
      <w:r>
        <w:rPr>
          <w:rFonts w:ascii="Calibri" w:hAnsi="Calibri"/>
          <w:b w:val="0"/>
          <w:i w:val="0"/>
          <w:color w:val="1A2238"/>
          <w:sz w:val="21"/>
        </w:rPr>
        <w:t>En el año 2040 el Perú será una sociedad con responsabilidad social educada en la economía de la creatividad, aprovechando su biodiversidad —convertida en su eje económico— e innovando a través de la ciencia, la tecnología e innovación con productos y servicios de alta calidad. Será líder en la oferta exportable de productos con valor agregado, con una población con alta calidad de vida, oportunidades para su desarrollo, en un ambiente sostenible y teniendo su biodiversidad como marca País. Para la acuicultura, la visión es promover la generación de recursos materiales, tecnológicos y financieros pertinentes, así como los servicios técnicos y condiciones institucionales adecuadas para facilitar la inversión privada en la producción acuícola y la comercialización de productos acuícolas en el mercado nacional e internacional.</w:t>
      </w:r>
    </w:p>
    <w:p>
      <w:r>
        <w:rPr>
          <w:rFonts w:ascii="Calibri" w:hAnsi="Calibri"/>
          <w:b/>
          <w:i w:val="0"/>
          <w:color w:val="D91023"/>
          <w:sz w:val="26"/>
        </w:rPr>
        <w:t>Diagnóstico — brecha 2026</w:t>
      </w:r>
    </w:p>
    <w:p>
      <w:pPr>
        <w:pStyle w:val="ListBullet"/>
      </w:pPr>
      <w:r>
        <w:rPr>
          <w:rFonts w:ascii="Calibri" w:hAnsi="Calibri"/>
          <w:b w:val="0"/>
          <w:i w:val="0"/>
          <w:color w:val="1A2238"/>
          <w:sz w:val="21"/>
        </w:rPr>
        <w:t>La acuicultura en el Perú se encuentra mal orientada, retraída y aletargada respecto del mundo actual; su desarrollo es incipiente comparado con otros países de la región y orientada al cultivo de pocas especies.</w:t>
      </w:r>
    </w:p>
    <w:p>
      <w:pPr>
        <w:pStyle w:val="ListBullet"/>
      </w:pPr>
      <w:r>
        <w:rPr>
          <w:rFonts w:ascii="Calibri" w:hAnsi="Calibri"/>
          <w:b w:val="0"/>
          <w:i w:val="0"/>
          <w:color w:val="1A2238"/>
          <w:sz w:val="21"/>
        </w:rPr>
        <w:t>Distribución del área otorgada: 76.41% (15,843.53 ha) corresponde a la actividad acuícola marina y 23.59% (4,891.93 ha) a la actividad acuícola continental.</w:t>
      </w:r>
    </w:p>
    <w:p>
      <w:pPr>
        <w:pStyle w:val="ListBullet"/>
      </w:pPr>
      <w:r>
        <w:rPr>
          <w:rFonts w:ascii="Calibri" w:hAnsi="Calibri"/>
          <w:b w:val="0"/>
          <w:i w:val="0"/>
          <w:color w:val="1A2238"/>
          <w:sz w:val="21"/>
        </w:rPr>
        <w:t>Cultivos más extendidos (concha de abanico y langostino) destinados principalmente a exportación; trucha en zonas altoandinas para mercado local y exportación; peces nativos (gamitana, paco, boquichico) para mercado local; tilapia en selva alta (San Martín) y costa norte.</w:t>
      </w:r>
    </w:p>
    <w:p>
      <w:pPr>
        <w:pStyle w:val="ListBullet"/>
      </w:pPr>
      <w:r>
        <w:rPr>
          <w:rFonts w:ascii="Calibri" w:hAnsi="Calibri"/>
          <w:b w:val="0"/>
          <w:i w:val="0"/>
          <w:color w:val="1A2238"/>
          <w:sz w:val="21"/>
        </w:rPr>
        <w:t>Carece de un plan a largo plazo de desarrollo integrado para todas las regiones que identifique oportunidades de inversión y difunda información técnica.</w:t>
      </w:r>
    </w:p>
    <w:p>
      <w:pPr>
        <w:pStyle w:val="ListBullet"/>
      </w:pPr>
      <w:r>
        <w:rPr>
          <w:rFonts w:ascii="Calibri" w:hAnsi="Calibri"/>
          <w:b w:val="0"/>
          <w:i w:val="0"/>
          <w:color w:val="1A2238"/>
          <w:sz w:val="21"/>
        </w:rPr>
        <w:t>Estudios e investigaciones sobre la acuicultura peruana y la evolución de sus mercados interno y externo son escasos, lo que limita ubicar especies con ventajas competitivas; por ello la empresa privada y la banca comercial muestran pobre interés en invertir o dar créditos.</w:t>
      </w:r>
    </w:p>
    <w:p>
      <w:pPr>
        <w:pStyle w:val="ListBullet"/>
      </w:pPr>
      <w:r>
        <w:rPr>
          <w:rFonts w:ascii="Calibri" w:hAnsi="Calibri"/>
          <w:b w:val="0"/>
          <w:i w:val="0"/>
          <w:color w:val="1A2238"/>
          <w:sz w:val="21"/>
        </w:rPr>
        <w:t>Falta efectiva integración entre pequeñas y medianas empresas, lo que impide la estandarización de la producción y un mercadeo eficaz.</w:t>
      </w:r>
    </w:p>
    <w:p>
      <w:pPr>
        <w:pStyle w:val="ListBullet"/>
      </w:pPr>
      <w:r>
        <w:rPr>
          <w:rFonts w:ascii="Calibri" w:hAnsi="Calibri"/>
          <w:b w:val="0"/>
          <w:i w:val="0"/>
          <w:color w:val="1A2238"/>
          <w:sz w:val="21"/>
        </w:rPr>
        <w:t>El Perú sigue siendo un país pesquero extractivo tradicional para consumo humano indirecto (harina de pescado); su crecimiento desmesurado pone en riesgo el ecosistema y deja pasivos ambientales muy negativos que pasan desapercibidos.</w:t>
      </w:r>
    </w:p>
    <w:p>
      <w:pPr>
        <w:pStyle w:val="ListBullet"/>
      </w:pPr>
      <w:r>
        <w:rPr>
          <w:rFonts w:ascii="Calibri" w:hAnsi="Calibri"/>
          <w:b w:val="0"/>
          <w:i w:val="0"/>
          <w:color w:val="1A2238"/>
          <w:sz w:val="21"/>
        </w:rPr>
        <w:t>Recursos hídricos abundantes para uso acuícola en serio riesgo de extinción por pasivos ambientales de otras actividades (minería, pesca, actividad urbana caótica).</w:t>
      </w:r>
    </w:p>
    <w:p>
      <w:pPr>
        <w:pStyle w:val="ListBullet"/>
      </w:pPr>
      <w:r>
        <w:rPr>
          <w:rFonts w:ascii="Calibri" w:hAnsi="Calibri"/>
          <w:b w:val="0"/>
          <w:i w:val="0"/>
          <w:color w:val="1A2238"/>
          <w:sz w:val="21"/>
        </w:rPr>
        <w:t>Gran porcentaje de la población en pobreza y pobreza extrema, con carencias proteicas gigantescas que una acuicultura desarrollada podría reducir drásticamente.</w:t>
      </w:r>
    </w:p>
    <w:p>
      <w:pPr>
        <w:pStyle w:val="ListBullet"/>
      </w:pPr>
      <w:r>
        <w:rPr>
          <w:rFonts w:ascii="Calibri" w:hAnsi="Calibri"/>
          <w:b w:val="0"/>
          <w:i w:val="0"/>
          <w:color w:val="1A2238"/>
          <w:sz w:val="21"/>
        </w:rPr>
        <w:t>Dependencia de insumos importados: semilla de langostino a partir de nauplios importados de Ecuador y postlarvas; ovas embrionadas de trucha importadas de Norteamérica o Europa; alimento (piensos) es el insumo más costoso, concentrado en dos empresas nacionales líderes.</w:t>
      </w:r>
    </w:p>
    <w:p>
      <w:pPr>
        <w:pStyle w:val="ListBullet"/>
      </w:pPr>
      <w:r>
        <w:rPr>
          <w:rFonts w:ascii="Calibri" w:hAnsi="Calibri"/>
          <w:b w:val="0"/>
          <w:i w:val="0"/>
          <w:color w:val="1A2238"/>
          <w:sz w:val="21"/>
        </w:rPr>
        <w:t>En granjas de pequeña escala y subsistencia (tilapia y peces amazónicos), el alimento es de calidad muy pobre y los productores desconocen el costo del alimento dentro del costo de producción.</w:t>
      </w:r>
    </w:p>
    <w:p>
      <w:pPr>
        <w:pStyle w:val="ListBullet"/>
      </w:pPr>
      <w:r>
        <w:rPr>
          <w:rFonts w:ascii="Calibri" w:hAnsi="Calibri"/>
          <w:b w:val="0"/>
          <w:i w:val="0"/>
          <w:color w:val="1A2238"/>
          <w:sz w:val="21"/>
        </w:rPr>
        <w:t>Limitado número de especialistas de nivel superior en genética, nutrición y manejo de enfermedades, y de escuelas técnicas para formación práctica de acuicultores.</w:t>
      </w:r>
    </w:p>
    <w:p>
      <w:pPr>
        <w:pStyle w:val="ListBullet"/>
      </w:pPr>
      <w:r>
        <w:rPr>
          <w:rFonts w:ascii="Calibri" w:hAnsi="Calibri"/>
          <w:b w:val="0"/>
          <w:i w:val="0"/>
          <w:color w:val="1A2238"/>
          <w:sz w:val="21"/>
        </w:rPr>
        <w:t>Dificultades de equipos, materiales, transporte, energía y comunicaciones para los cultivos de trucha, tilapia y peces amazónicos (a diferencia de la industria langostinera y de concha de abanico).</w:t>
      </w:r>
    </w:p>
    <w:p>
      <w:pPr>
        <w:pStyle w:val="ListBullet"/>
      </w:pPr>
      <w:r>
        <w:rPr>
          <w:rFonts w:ascii="Calibri" w:hAnsi="Calibri"/>
          <w:b w:val="0"/>
          <w:i w:val="0"/>
          <w:color w:val="1A2238"/>
          <w:sz w:val="21"/>
        </w:rPr>
        <w:t>Riesgos identificados: falta de planificación de largo plazo; fenómenos naturales que alteren el régimen climático o causen desastres; epizootias no previsibles; alteración de precios de insumos; monopolio de insumos; injerencia política partidaria en cargos técnicos; disminución de la competencia y probidad del capital humano; y la corrupción.</w:t>
      </w:r>
    </w:p>
    <w:p>
      <w:r>
        <w:rPr>
          <w:rFonts w:ascii="Calibri" w:hAnsi="Calibri"/>
          <w:b/>
          <w:i w:val="0"/>
          <w:color w:val="D91023"/>
          <w:sz w:val="26"/>
        </w:rPr>
        <w:t>Indicadores: hoy → meta 2050</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1023"/>
          </w:tcPr>
          <w:p>
            <w:r>
              <w:rPr>
                <w:rFonts w:ascii="Calibri" w:hAnsi="Calibri"/>
                <w:b/>
                <w:i w:val="0"/>
                <w:color w:val="FFFFFF"/>
                <w:sz w:val="17"/>
              </w:rPr>
              <w:t>Indicador</w:t>
            </w:r>
          </w:p>
        </w:tc>
        <w:tc>
          <w:tcPr>
            <w:tcW w:type="dxa" w:w="1656"/>
            <w:shd w:fill="D91023"/>
          </w:tcPr>
          <w:p>
            <w:r>
              <w:rPr>
                <w:rFonts w:ascii="Calibri" w:hAnsi="Calibri"/>
                <w:b/>
                <w:i w:val="0"/>
                <w:color w:val="FFFFFF"/>
                <w:sz w:val="17"/>
              </w:rPr>
              <w:t>Hoy</w:t>
            </w:r>
          </w:p>
        </w:tc>
        <w:tc>
          <w:tcPr>
            <w:tcW w:type="dxa" w:w="1656"/>
            <w:shd w:fill="D91023"/>
          </w:tcPr>
          <w:p>
            <w:r>
              <w:rPr>
                <w:rFonts w:ascii="Calibri" w:hAnsi="Calibri"/>
                <w:b/>
                <w:i w:val="0"/>
                <w:color w:val="FFFFFF"/>
                <w:sz w:val="17"/>
              </w:rPr>
              <w:t>Meta 2050</w:t>
            </w:r>
          </w:p>
        </w:tc>
        <w:tc>
          <w:tcPr>
            <w:tcW w:type="dxa" w:w="1656"/>
            <w:shd w:fill="D91023"/>
          </w:tcPr>
          <w:p>
            <w:r>
              <w:rPr>
                <w:rFonts w:ascii="Calibri" w:hAnsi="Calibri"/>
                <w:b/>
                <w:i w:val="0"/>
                <w:color w:val="FFFFFF"/>
                <w:sz w:val="17"/>
              </w:rPr>
              <w:t>Unidad</w:t>
            </w:r>
          </w:p>
        </w:tc>
        <w:tc>
          <w:tcPr>
            <w:tcW w:type="dxa" w:w="1656"/>
            <w:shd w:fill="D91023"/>
          </w:tcPr>
          <w:p>
            <w:r>
              <w:rPr>
                <w:rFonts w:ascii="Calibri" w:hAnsi="Calibri"/>
                <w:b/>
                <w:i w:val="0"/>
                <w:color w:val="FFFFFF"/>
                <w:sz w:val="17"/>
              </w:rPr>
              <w:t>% avance</w:t>
            </w:r>
          </w:p>
        </w:tc>
        <w:tc>
          <w:tcPr>
            <w:tcW w:type="dxa" w:w="1656"/>
            <w:shd w:fill="D91023"/>
          </w:tcPr>
          <w:p>
            <w:r>
              <w:rPr>
                <w:rFonts w:ascii="Calibri" w:hAnsi="Calibri"/>
                <w:b/>
                <w:i w:val="0"/>
                <w:color w:val="FFFFFF"/>
                <w:sz w:val="17"/>
              </w:rPr>
              <w:t>Fuente</w:t>
            </w:r>
          </w:p>
        </w:tc>
      </w:tr>
      <w:tr>
        <w:tc>
          <w:tcPr>
            <w:tcW w:type="dxa" w:w="1656"/>
          </w:tcPr>
          <w:p>
            <w:r>
              <w:rPr>
                <w:rFonts w:ascii="Calibri" w:hAnsi="Calibri"/>
                <w:b/>
                <w:i w:val="0"/>
                <w:color w:val="1A2238"/>
                <w:sz w:val="16"/>
              </w:rPr>
              <w:t>Participación del área acuícola marina en el área total otorgada</w:t>
            </w:r>
          </w:p>
        </w:tc>
        <w:tc>
          <w:tcPr>
            <w:tcW w:type="dxa" w:w="1656"/>
          </w:tcPr>
          <w:p>
            <w:r>
              <w:rPr>
                <w:rFonts w:ascii="Calibri" w:hAnsi="Calibri"/>
                <w:b w:val="0"/>
                <w:i w:val="0"/>
                <w:color w:val="1A2238"/>
                <w:sz w:val="16"/>
              </w:rPr>
              <w:t>76.41</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 del área otorgada</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Diagnóstico Comisión Acuicultura - Plan Perú 2040 (15,843.53 ha del área otorgada)</w:t>
            </w:r>
          </w:p>
        </w:tc>
      </w:tr>
      <w:tr>
        <w:tc>
          <w:tcPr>
            <w:tcW w:type="dxa" w:w="1656"/>
          </w:tcPr>
          <w:p>
            <w:r>
              <w:rPr>
                <w:rFonts w:ascii="Calibri" w:hAnsi="Calibri"/>
                <w:b/>
                <w:i w:val="0"/>
                <w:color w:val="1A2238"/>
                <w:sz w:val="16"/>
              </w:rPr>
              <w:t>Participación del área acuícola continental en el área total otorgada</w:t>
            </w:r>
          </w:p>
        </w:tc>
        <w:tc>
          <w:tcPr>
            <w:tcW w:type="dxa" w:w="1656"/>
          </w:tcPr>
          <w:p>
            <w:r>
              <w:rPr>
                <w:rFonts w:ascii="Calibri" w:hAnsi="Calibri"/>
                <w:b w:val="0"/>
                <w:i w:val="0"/>
                <w:color w:val="1A2238"/>
                <w:sz w:val="16"/>
              </w:rPr>
              <w:t>23.59</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 del área otorgada</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Diagnóstico Comisión Acuicultura - Plan Perú 2040 (4,891.93 ha del área otorgada)</w:t>
            </w:r>
          </w:p>
        </w:tc>
      </w:tr>
      <w:tr>
        <w:tc>
          <w:tcPr>
            <w:tcW w:type="dxa" w:w="1656"/>
          </w:tcPr>
          <w:p>
            <w:r>
              <w:rPr>
                <w:rFonts w:ascii="Calibri" w:hAnsi="Calibri"/>
                <w:b/>
                <w:i w:val="0"/>
                <w:color w:val="1A2238"/>
                <w:sz w:val="16"/>
              </w:rPr>
              <w:t>Área otorgada para acuicultura marina</w:t>
            </w:r>
          </w:p>
        </w:tc>
        <w:tc>
          <w:tcPr>
            <w:tcW w:type="dxa" w:w="1656"/>
          </w:tcPr>
          <w:p>
            <w:r>
              <w:rPr>
                <w:rFonts w:ascii="Calibri" w:hAnsi="Calibri"/>
                <w:b w:val="0"/>
                <w:i w:val="0"/>
                <w:color w:val="1A2238"/>
                <w:sz w:val="16"/>
              </w:rPr>
              <w:t>15 843.53</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hectáreas</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Diagnóstico Comisión Acuicultura - Plan Perú 2040</w:t>
            </w:r>
          </w:p>
        </w:tc>
      </w:tr>
      <w:tr>
        <w:tc>
          <w:tcPr>
            <w:tcW w:type="dxa" w:w="1656"/>
          </w:tcPr>
          <w:p>
            <w:r>
              <w:rPr>
                <w:rFonts w:ascii="Calibri" w:hAnsi="Calibri"/>
                <w:b/>
                <w:i w:val="0"/>
                <w:color w:val="1A2238"/>
                <w:sz w:val="16"/>
              </w:rPr>
              <w:t>Área otorgada para acuicultura continental</w:t>
            </w:r>
          </w:p>
        </w:tc>
        <w:tc>
          <w:tcPr>
            <w:tcW w:type="dxa" w:w="1656"/>
          </w:tcPr>
          <w:p>
            <w:r>
              <w:rPr>
                <w:rFonts w:ascii="Calibri" w:hAnsi="Calibri"/>
                <w:b w:val="0"/>
                <w:i w:val="0"/>
                <w:color w:val="1A2238"/>
                <w:sz w:val="16"/>
              </w:rPr>
              <w:t>4 891.93</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hectáreas</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Diagnóstico Comisión Acuicultura - Plan Perú 2040</w:t>
            </w:r>
          </w:p>
        </w:tc>
      </w:tr>
      <w:tr>
        <w:tc>
          <w:tcPr>
            <w:tcW w:type="dxa" w:w="1656"/>
          </w:tcPr>
          <w:p>
            <w:r>
              <w:rPr>
                <w:rFonts w:ascii="Calibri" w:hAnsi="Calibri"/>
                <w:b/>
                <w:i w:val="0"/>
                <w:color w:val="1A2238"/>
                <w:sz w:val="16"/>
              </w:rPr>
              <w:t>Universidades que forman acuicultores</w:t>
            </w:r>
          </w:p>
        </w:tc>
        <w:tc>
          <w:tcPr>
            <w:tcW w:type="dxa" w:w="1656"/>
          </w:tcPr>
          <w:p>
            <w:r>
              <w:rPr>
                <w:rFonts w:ascii="Calibri" w:hAnsi="Calibri"/>
                <w:b w:val="0"/>
                <w:i w:val="0"/>
                <w:color w:val="1A2238"/>
                <w:sz w:val="16"/>
              </w:rPr>
              <w:t>3</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universidades</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Diagnóstico Comisión Acuicultura - Plan Perú 2040 (capital humano)</w:t>
            </w:r>
          </w:p>
        </w:tc>
      </w:tr>
      <w:tr>
        <w:tc>
          <w:tcPr>
            <w:tcW w:type="dxa" w:w="1656"/>
          </w:tcPr>
          <w:p>
            <w:r>
              <w:rPr>
                <w:rFonts w:ascii="Calibri" w:hAnsi="Calibri"/>
                <w:b/>
                <w:i w:val="0"/>
                <w:color w:val="1A2238"/>
                <w:sz w:val="16"/>
              </w:rPr>
              <w:t>Universidades que forman ingenieros pesqueros y biólogos capacitados para la acuicultura</w:t>
            </w:r>
          </w:p>
        </w:tc>
        <w:tc>
          <w:tcPr>
            <w:tcW w:type="dxa" w:w="1656"/>
          </w:tcPr>
          <w:p>
            <w:r>
              <w:rPr>
                <w:rFonts w:ascii="Calibri" w:hAnsi="Calibri"/>
                <w:b w:val="0"/>
                <w:i w:val="0"/>
                <w:color w:val="1A2238"/>
                <w:sz w:val="16"/>
              </w:rPr>
              <w:t>10</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universidades</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Diagnóstico Comisión Acuicultura - Plan Perú 2040 (capital humano)</w:t>
            </w:r>
          </w:p>
        </w:tc>
      </w:tr>
      <w:tr>
        <w:tc>
          <w:tcPr>
            <w:tcW w:type="dxa" w:w="1656"/>
          </w:tcPr>
          <w:p>
            <w:r>
              <w:rPr>
                <w:rFonts w:ascii="Calibri" w:hAnsi="Calibri"/>
                <w:b/>
                <w:i w:val="0"/>
                <w:color w:val="1A2238"/>
                <w:sz w:val="16"/>
              </w:rPr>
              <w:t>Centros de enseñanza media especializada que forman técnicos en acuicultura</w:t>
            </w:r>
          </w:p>
        </w:tc>
        <w:tc>
          <w:tcPr>
            <w:tcW w:type="dxa" w:w="1656"/>
          </w:tcPr>
          <w:p>
            <w:r>
              <w:rPr>
                <w:rFonts w:ascii="Calibri" w:hAnsi="Calibri"/>
                <w:b w:val="0"/>
                <w:i w:val="0"/>
                <w:color w:val="1A2238"/>
                <w:sz w:val="16"/>
              </w:rPr>
              <w:t>2</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centros</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Diagnóstico Comisión Acuicultura - Plan Perú 2040 (capital humano)</w:t>
            </w:r>
          </w:p>
        </w:tc>
      </w:tr>
      <w:tr>
        <w:tc>
          <w:tcPr>
            <w:tcW w:type="dxa" w:w="1656"/>
          </w:tcPr>
          <w:p>
            <w:r>
              <w:rPr>
                <w:rFonts w:ascii="Calibri" w:hAnsi="Calibri"/>
                <w:b/>
                <w:i w:val="0"/>
                <w:color w:val="1A2238"/>
                <w:sz w:val="16"/>
              </w:rPr>
              <w:t>Empresas nacionales líderes productoras de alimento estandarizado para langostinos y truchas</w:t>
            </w:r>
          </w:p>
        </w:tc>
        <w:tc>
          <w:tcPr>
            <w:tcW w:type="dxa" w:w="1656"/>
          </w:tcPr>
          <w:p>
            <w:r>
              <w:rPr>
                <w:rFonts w:ascii="Calibri" w:hAnsi="Calibri"/>
                <w:b w:val="0"/>
                <w:i w:val="0"/>
                <w:color w:val="1A2238"/>
                <w:sz w:val="16"/>
              </w:rPr>
              <w:t>2</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empresas</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Diagnóstico Comisión Acuicultura - Plan Perú 2040 (insumo alimento/piensos)</w:t>
            </w:r>
          </w:p>
        </w:tc>
      </w:tr>
    </w:tbl>
    <w:p>
      <w:r>
        <w:rPr>
          <w:rFonts w:ascii="Calibri" w:hAnsi="Calibri"/>
          <w:b/>
          <w:i w:val="0"/>
          <w:color w:val="D91023"/>
          <w:sz w:val="26"/>
        </w:rPr>
        <w:t>Pilares de la estrategia</w:t>
      </w:r>
    </w:p>
    <w:p>
      <w:r>
        <w:rPr>
          <w:rFonts w:ascii="Calibri" w:hAnsi="Calibri"/>
          <w:b/>
          <w:i w:val="0"/>
          <w:color w:val="1A2238"/>
          <w:sz w:val="21"/>
        </w:rPr>
        <w:t xml:space="preserve">Incremento de la producción y comercialización acuícola: </w:t>
      </w:r>
      <w:r>
        <w:rPr>
          <w:rFonts w:ascii="Calibri" w:hAnsi="Calibri"/>
          <w:b w:val="0"/>
          <w:i w:val="0"/>
          <w:color w:val="1A2238"/>
          <w:sz w:val="21"/>
        </w:rPr>
        <w:t>Incrementar la calidad, productividad y el volumen de producción acuícola comercializado a nivel nacional e internacional, apoyando capacidades exportadoras (productos orgánicos), posicionamiento internacional con PROMPERU y MINCETUR, desarrollo del mercado interno, aseguramiento y control de calidad (SANIPES) y normas técnicas (Objetivo N°1).</w:t>
      </w:r>
    </w:p>
    <w:p>
      <w:r>
        <w:rPr>
          <w:rFonts w:ascii="Calibri" w:hAnsi="Calibri"/>
          <w:b/>
          <w:i w:val="0"/>
          <w:color w:val="1A2238"/>
          <w:sz w:val="21"/>
        </w:rPr>
        <w:t xml:space="preserve">Inversión privada y ordenamiento de la actividad: </w:t>
      </w:r>
      <w:r>
        <w:rPr>
          <w:rFonts w:ascii="Calibri" w:hAnsi="Calibri"/>
          <w:b w:val="0"/>
          <w:i w:val="0"/>
          <w:color w:val="1A2238"/>
          <w:sz w:val="21"/>
        </w:rPr>
        <w:t>Incrementar la inversión privada en acuicultura fomentando la viabilidad económica y competitividad de las granjas, la organización y gestión empresarial de pequeños y medianos acuicultores, el Catastro Acuícola Nacional y sistema de información geográfica, la infraestructura de comunicaciones y servicios, la simplificación de trámites (Ventanilla Única de Acuicultura), la estabilidad jurídica de áreas acuáticas y el ordenamiento territorial (Objetivo N°2).</w:t>
      </w:r>
    </w:p>
    <w:p>
      <w:r>
        <w:rPr>
          <w:rFonts w:ascii="Calibri" w:hAnsi="Calibri"/>
          <w:b/>
          <w:i w:val="0"/>
          <w:color w:val="1A2238"/>
          <w:sz w:val="21"/>
        </w:rPr>
        <w:t xml:space="preserve">Producción nacional de insumos (semillas y alimento balanceado): </w:t>
      </w:r>
      <w:r>
        <w:rPr>
          <w:rFonts w:ascii="Calibri" w:hAnsi="Calibri"/>
          <w:b w:val="0"/>
          <w:i w:val="0"/>
          <w:color w:val="1A2238"/>
          <w:sz w:val="21"/>
        </w:rPr>
        <w:t>Promover la producción nacional de insumos mejorando los centros de producción acuícola estatales (vía gobiernos regionales, sector privado o APP) para abastecer semilla de calidad, y promoviendo alimento balanceado de buena calidad con normas técnicas y plantas piloto (Objetivo N°3).</w:t>
      </w:r>
    </w:p>
    <w:p>
      <w:r>
        <w:rPr>
          <w:rFonts w:ascii="Calibri" w:hAnsi="Calibri"/>
          <w:b/>
          <w:i w:val="0"/>
          <w:color w:val="1A2238"/>
          <w:sz w:val="21"/>
        </w:rPr>
        <w:t xml:space="preserve">Formación, capacitación y asistencia técnica: </w:t>
      </w:r>
      <w:r>
        <w:rPr>
          <w:rFonts w:ascii="Calibri" w:hAnsi="Calibri"/>
          <w:b w:val="0"/>
          <w:i w:val="0"/>
          <w:color w:val="1A2238"/>
          <w:sz w:val="21"/>
        </w:rPr>
        <w:t>Promover el desarrollo de servicios de formación, capacitación y asistencia técnica para la producción y comercialización acuícola, con programas de extensión en las Regiones, protocolos de buenas prácticas en granjas demostrativas y mejora de la formación universitaria y de postgrado (Objetivo N°4).</w:t>
      </w:r>
    </w:p>
    <w:p>
      <w:r>
        <w:rPr>
          <w:rFonts w:ascii="Calibri" w:hAnsi="Calibri"/>
          <w:b/>
          <w:i w:val="0"/>
          <w:color w:val="1A2238"/>
          <w:sz w:val="21"/>
        </w:rPr>
        <w:t xml:space="preserve">Control y sanidad acuícola: </w:t>
      </w:r>
      <w:r>
        <w:rPr>
          <w:rFonts w:ascii="Calibri" w:hAnsi="Calibri"/>
          <w:b w:val="0"/>
          <w:i w:val="0"/>
          <w:color w:val="1A2238"/>
          <w:sz w:val="21"/>
        </w:rPr>
        <w:t>Promover el desarrollo de servicios de control sanitario, estableciendo un sistema nacional de sanidad acuícola con centros de referencia equipados para prevenir y controlar enfermedades y responder a brotes de epizootias, y regular la prestación de servicios de sanidad acuícola (Objetivo N°5).</w:t>
      </w:r>
    </w:p>
    <w:p>
      <w:r>
        <w:rPr>
          <w:rFonts w:ascii="Calibri" w:hAnsi="Calibri"/>
          <w:b/>
          <w:i w:val="0"/>
          <w:color w:val="1A2238"/>
          <w:sz w:val="21"/>
        </w:rPr>
        <w:t xml:space="preserve">Investigación, desarrollo y transferencia tecnológica: </w:t>
      </w:r>
      <w:r>
        <w:rPr>
          <w:rFonts w:ascii="Calibri" w:hAnsi="Calibri"/>
          <w:b w:val="0"/>
          <w:i w:val="0"/>
          <w:color w:val="1A2238"/>
          <w:sz w:val="21"/>
        </w:rPr>
        <w:t>Promover la investigación y desarrollo, adaptación y transferencia tecnológica en materia acuícola, estableciendo prioridades de investigación por especies, desarrollando tecnologías para producción nacional de semilla de calidad y articulando institutos de investigación con empresas y gremios (Objetivo N°6).</w:t>
      </w:r>
    </w:p>
    <w:p>
      <w:r>
        <w:rPr>
          <w:rFonts w:ascii="Calibri" w:hAnsi="Calibri"/>
          <w:b/>
          <w:i w:val="0"/>
          <w:color w:val="1A2238"/>
          <w:sz w:val="21"/>
        </w:rPr>
        <w:t xml:space="preserve">Capacidades institucionales y estadística: </w:t>
      </w:r>
      <w:r>
        <w:rPr>
          <w:rFonts w:ascii="Calibri" w:hAnsi="Calibri"/>
          <w:b w:val="0"/>
          <w:i w:val="0"/>
          <w:color w:val="1A2238"/>
          <w:sz w:val="21"/>
        </w:rPr>
        <w:t>Contar con una estructura organizacional y capacidades humanas adecuadas para la elaboración, implementación y evaluación de políticas de promoción acuícola, fortaleciendo recursos humanos de ordenación y desarrollo, y el sistema de captación y difusión de información estadística representativa, veraz y oportuna (Objetivo N°7).</w:t>
      </w:r>
    </w:p>
    <w:p>
      <w:r>
        <w:rPr>
          <w:rFonts w:ascii="Calibri" w:hAnsi="Calibri"/>
          <w:b/>
          <w:i w:val="0"/>
          <w:color w:val="1A2238"/>
          <w:sz w:val="21"/>
        </w:rPr>
        <w:t xml:space="preserve">Financiamiento de la acuicultura: </w:t>
      </w:r>
      <w:r>
        <w:rPr>
          <w:rFonts w:ascii="Calibri" w:hAnsi="Calibri"/>
          <w:b w:val="0"/>
          <w:i w:val="0"/>
          <w:color w:val="1A2238"/>
          <w:sz w:val="21"/>
        </w:rPr>
        <w:t>Obtener y usar óptimamente recursos financieros para la promoción de la acuicultura, analizando, diseñando e implementando instrumentos para el incremento, distribución y óptimo uso de los recursos financieros para el desarrollo del sector (Objetivo N°8).</w:t>
      </w:r>
    </w:p>
    <w:p>
      <w:r>
        <w:rPr>
          <w:rFonts w:ascii="Calibri" w:hAnsi="Calibri"/>
          <w:b/>
          <w:i w:val="0"/>
          <w:color w:val="D91023"/>
          <w:sz w:val="26"/>
        </w:rPr>
        <w:t>Metas 2050</w:t>
      </w:r>
    </w:p>
    <w:p>
      <w:pPr>
        <w:pStyle w:val="ListBullet"/>
      </w:pPr>
      <w:r>
        <w:rPr>
          <w:rFonts w:ascii="Calibri" w:hAnsi="Calibri"/>
          <w:b w:val="0"/>
          <w:i w:val="0"/>
          <w:color w:val="1A2238"/>
          <w:sz w:val="21"/>
        </w:rPr>
        <w:t>Incrementar la calidad, productividad y el volumen de producción acuícola comercializado a nivel nacional e internacional.</w:t>
      </w:r>
    </w:p>
    <w:p>
      <w:pPr>
        <w:pStyle w:val="ListBullet"/>
      </w:pPr>
      <w:r>
        <w:rPr>
          <w:rFonts w:ascii="Calibri" w:hAnsi="Calibri"/>
          <w:b w:val="0"/>
          <w:i w:val="0"/>
          <w:color w:val="1A2238"/>
          <w:sz w:val="21"/>
        </w:rPr>
        <w:t>Incrementar la inversión privada en acuicultura.</w:t>
      </w:r>
    </w:p>
    <w:p>
      <w:pPr>
        <w:pStyle w:val="ListBullet"/>
      </w:pPr>
      <w:r>
        <w:rPr>
          <w:rFonts w:ascii="Calibri" w:hAnsi="Calibri"/>
          <w:b w:val="0"/>
          <w:i w:val="0"/>
          <w:color w:val="1A2238"/>
          <w:sz w:val="21"/>
        </w:rPr>
        <w:t>Promover la producción nacional de insumos (semillas y alimento balanceado) para la acuicultura, reduciendo la dependencia de la importación de nauplios, postlarvas y ovas embrionadas.</w:t>
      </w:r>
    </w:p>
    <w:p>
      <w:pPr>
        <w:pStyle w:val="ListBullet"/>
      </w:pPr>
      <w:r>
        <w:rPr>
          <w:rFonts w:ascii="Calibri" w:hAnsi="Calibri"/>
          <w:b w:val="0"/>
          <w:i w:val="0"/>
          <w:color w:val="1A2238"/>
          <w:sz w:val="21"/>
        </w:rPr>
        <w:t>Crear el Instituto Nacional de Acuicultura.</w:t>
      </w:r>
    </w:p>
    <w:p>
      <w:pPr>
        <w:pStyle w:val="ListBullet"/>
      </w:pPr>
      <w:r>
        <w:rPr>
          <w:rFonts w:ascii="Calibri" w:hAnsi="Calibri"/>
          <w:b w:val="0"/>
          <w:i w:val="0"/>
          <w:color w:val="1A2238"/>
          <w:sz w:val="21"/>
        </w:rPr>
        <w:t>Establecer un sistema nacional de sanidad acuícola con centros de referencia para prevenir y controlar enfermedades y responder a epizootias.</w:t>
      </w:r>
    </w:p>
    <w:p>
      <w:pPr>
        <w:pStyle w:val="ListBullet"/>
      </w:pPr>
      <w:r>
        <w:rPr>
          <w:rFonts w:ascii="Calibri" w:hAnsi="Calibri"/>
          <w:b w:val="0"/>
          <w:i w:val="0"/>
          <w:color w:val="1A2238"/>
          <w:sz w:val="21"/>
        </w:rPr>
        <w:t>Contar con un Catastro Acuícola Nacional actualizado, descentralizado e interconectado con las regiones, con sistema de información geográfica.</w:t>
      </w:r>
    </w:p>
    <w:p>
      <w:pPr>
        <w:pStyle w:val="ListBullet"/>
      </w:pPr>
      <w:r>
        <w:rPr>
          <w:rFonts w:ascii="Calibri" w:hAnsi="Calibri"/>
          <w:b w:val="0"/>
          <w:i w:val="0"/>
          <w:color w:val="1A2238"/>
          <w:sz w:val="21"/>
        </w:rPr>
        <w:t>Optimizar la Ventanilla Única de Acuicultura (VUA) mediante simplificación de trámites para el otorgamiento de derechos a mayor y menor escala.</w:t>
      </w:r>
    </w:p>
    <w:p>
      <w:pPr>
        <w:pStyle w:val="ListBullet"/>
      </w:pPr>
      <w:r>
        <w:rPr>
          <w:rFonts w:ascii="Calibri" w:hAnsi="Calibri"/>
          <w:b w:val="0"/>
          <w:i w:val="0"/>
          <w:color w:val="1A2238"/>
          <w:sz w:val="21"/>
        </w:rPr>
        <w:t>Promover el ordenamiento territorial que favorezca la expansión de la acuicultura evitando conflictos por el uso de áreas acuáticas.</w:t>
      </w:r>
    </w:p>
    <w:p>
      <w:pPr>
        <w:pStyle w:val="ListBullet"/>
      </w:pPr>
      <w:r>
        <w:rPr>
          <w:rFonts w:ascii="Calibri" w:hAnsi="Calibri"/>
          <w:b w:val="0"/>
          <w:i w:val="0"/>
          <w:color w:val="1A2238"/>
          <w:sz w:val="21"/>
        </w:rPr>
        <w:t>Obtener y usar óptimamente recursos financieros para la promoción de la acuicultura.</w:t>
      </w:r>
    </w:p>
    <w:p>
      <w:pPr>
        <w:pStyle w:val="ListBullet"/>
      </w:pPr>
      <w:r>
        <w:rPr>
          <w:rFonts w:ascii="Calibri" w:hAnsi="Calibri"/>
          <w:b w:val="0"/>
          <w:i w:val="0"/>
          <w:color w:val="1A2238"/>
          <w:sz w:val="21"/>
        </w:rPr>
        <w:t>Buscar el equilibrio entre la pesca extractiva y la actividad acuícola, así como con otras actividades que usan los recursos hídricos.</w:t>
      </w:r>
    </w:p>
    <w:p>
      <w:pPr>
        <w:pStyle w:val="ListBullet"/>
      </w:pPr>
      <w:r>
        <w:rPr>
          <w:rFonts w:ascii="Calibri" w:hAnsi="Calibri"/>
          <w:b w:val="0"/>
          <w:i w:val="0"/>
          <w:color w:val="1A2238"/>
          <w:sz w:val="21"/>
        </w:rPr>
        <w:t>Alcanzar la visión al 2040 de una acuicultura como eje económico basado en la biodiversidad, con oferta exportable de valor agregado.</w:t>
      </w:r>
    </w:p>
    <w:p>
      <w:r>
        <w:rPr>
          <w:rFonts w:ascii="Calibri" w:hAnsi="Calibri"/>
          <w:b/>
          <w:i w:val="0"/>
          <w:color w:val="D91023"/>
          <w:sz w:val="26"/>
        </w:rPr>
        <w:t>Acciones e iniciativas</w:t>
      </w:r>
    </w:p>
    <w:p>
      <w:pPr>
        <w:pStyle w:val="ListBullet"/>
      </w:pPr>
      <w:r>
        <w:rPr>
          <w:rFonts w:ascii="Calibri" w:hAnsi="Calibri"/>
          <w:b w:val="0"/>
          <w:i w:val="0"/>
          <w:color w:val="1A2238"/>
          <w:sz w:val="21"/>
        </w:rPr>
        <w:t>Apoyar el desarrollo de capacidades exportadoras de empresas productoras acuícolas orgánicas con información comercial y asesoría, y propiciar la asociatividad entre empresas para acceder al mercado de exportación.</w:t>
      </w:r>
    </w:p>
    <w:p>
      <w:pPr>
        <w:pStyle w:val="ListBullet"/>
      </w:pPr>
      <w:r>
        <w:rPr>
          <w:rFonts w:ascii="Calibri" w:hAnsi="Calibri"/>
          <w:b w:val="0"/>
          <w:i w:val="0"/>
          <w:color w:val="1A2238"/>
          <w:sz w:val="21"/>
        </w:rPr>
        <w:t>Posicionar y fortalecer los productos acuícolas en mercados internacionales mediante promoción comercial de PROMPERU con apoyo del Ministerio de Comercio Exterior y Turismo.</w:t>
      </w:r>
    </w:p>
    <w:p>
      <w:pPr>
        <w:pStyle w:val="ListBullet"/>
      </w:pPr>
      <w:r>
        <w:rPr>
          <w:rFonts w:ascii="Calibri" w:hAnsi="Calibri"/>
          <w:b w:val="0"/>
          <w:i w:val="0"/>
          <w:color w:val="1A2238"/>
          <w:sz w:val="21"/>
        </w:rPr>
        <w:t>Desarrollar el mercado interno para productos de la acuicultura, capacitando personal en manipulación de productos pesqueros y desarrollando infraestructura de mercadeo.</w:t>
      </w:r>
    </w:p>
    <w:p>
      <w:pPr>
        <w:pStyle w:val="ListBullet"/>
      </w:pPr>
      <w:r>
        <w:rPr>
          <w:rFonts w:ascii="Calibri" w:hAnsi="Calibri"/>
          <w:b w:val="0"/>
          <w:i w:val="0"/>
          <w:color w:val="1A2238"/>
          <w:sz w:val="21"/>
        </w:rPr>
        <w:t>Fortalecer el aseguramiento y control de la calidad e inocuidad capacitando a SANIPES y a capacitadores, usando el manual de inocuidad y control de calidad.</w:t>
      </w:r>
    </w:p>
    <w:p>
      <w:pPr>
        <w:pStyle w:val="ListBullet"/>
      </w:pPr>
      <w:r>
        <w:rPr>
          <w:rFonts w:ascii="Calibri" w:hAnsi="Calibri"/>
          <w:b w:val="0"/>
          <w:i w:val="0"/>
          <w:color w:val="1A2238"/>
          <w:sz w:val="21"/>
        </w:rPr>
        <w:t>Promover el diseño de normas técnicas para la acuicultura orientadas al posicionamiento en nuevos mercados.</w:t>
      </w:r>
    </w:p>
    <w:p>
      <w:pPr>
        <w:pStyle w:val="ListBullet"/>
      </w:pPr>
      <w:r>
        <w:rPr>
          <w:rFonts w:ascii="Calibri" w:hAnsi="Calibri"/>
          <w:b w:val="0"/>
          <w:i w:val="0"/>
          <w:color w:val="1A2238"/>
          <w:sz w:val="21"/>
        </w:rPr>
        <w:t>Fomentar la viabilidad económica, competitividad, capacidad de gestión y formalidad de las granjas y de los productores de menor escala y subsistencia mediante capacitación y asistencia técnica.</w:t>
      </w:r>
    </w:p>
    <w:p>
      <w:pPr>
        <w:pStyle w:val="ListBullet"/>
      </w:pPr>
      <w:r>
        <w:rPr>
          <w:rFonts w:ascii="Calibri" w:hAnsi="Calibri"/>
          <w:b w:val="0"/>
          <w:i w:val="0"/>
          <w:color w:val="1A2238"/>
          <w:sz w:val="21"/>
        </w:rPr>
        <w:t>Fomentar la organización y gestión empresarial de pequeños y medianos acuicultores para que se agrupen en gremios o asociaciones.</w:t>
      </w:r>
    </w:p>
    <w:p>
      <w:pPr>
        <w:pStyle w:val="ListBullet"/>
      </w:pPr>
      <w:r>
        <w:rPr>
          <w:rFonts w:ascii="Calibri" w:hAnsi="Calibri"/>
          <w:b w:val="0"/>
          <w:i w:val="0"/>
          <w:color w:val="1A2238"/>
          <w:sz w:val="21"/>
        </w:rPr>
        <w:t>Implementar un sistema de información geográfica y el Catastro Acuícola Nacional, evaluando los cuerpos de agua más importantes e interconectándolo con las regiones mediante un software adecuado.</w:t>
      </w:r>
    </w:p>
    <w:p>
      <w:pPr>
        <w:pStyle w:val="ListBullet"/>
      </w:pPr>
      <w:r>
        <w:rPr>
          <w:rFonts w:ascii="Calibri" w:hAnsi="Calibri"/>
          <w:b w:val="0"/>
          <w:i w:val="0"/>
          <w:color w:val="1A2238"/>
          <w:sz w:val="21"/>
        </w:rPr>
        <w:t>Mejorar la infraestructura de comunicaciones, vías de acceso, cadenas de frío, energía y servicios básicos en zonas de desarrollo acuícola, gestionando ante Gobiernos Regionales, APP y empresas.</w:t>
      </w:r>
    </w:p>
    <w:p>
      <w:pPr>
        <w:pStyle w:val="ListBullet"/>
      </w:pPr>
      <w:r>
        <w:rPr>
          <w:rFonts w:ascii="Calibri" w:hAnsi="Calibri"/>
          <w:b w:val="0"/>
          <w:i w:val="0"/>
          <w:color w:val="1A2238"/>
          <w:sz w:val="21"/>
        </w:rPr>
        <w:t>Simplificar trámites para el otorgamiento de derechos (mayor y menor escala) optimizando la Ventanilla Única de Acuicultura (VUA) y fortalecer la estabilidad jurídica y derechos de uso de áreas acuáticas.</w:t>
      </w:r>
    </w:p>
    <w:p>
      <w:pPr>
        <w:pStyle w:val="ListBullet"/>
      </w:pPr>
      <w:r>
        <w:rPr>
          <w:rFonts w:ascii="Calibri" w:hAnsi="Calibri"/>
          <w:b w:val="0"/>
          <w:i w:val="0"/>
          <w:color w:val="1A2238"/>
          <w:sz w:val="21"/>
        </w:rPr>
        <w:t>Promover el ordenamiento territorial que favorezca la expansión de la acuicultura evitando conflictos por uso de áreas acuáticas.</w:t>
      </w:r>
    </w:p>
    <w:p>
      <w:pPr>
        <w:pStyle w:val="ListBullet"/>
      </w:pPr>
      <w:r>
        <w:rPr>
          <w:rFonts w:ascii="Calibri" w:hAnsi="Calibri"/>
          <w:b w:val="0"/>
          <w:i w:val="0"/>
          <w:color w:val="1A2238"/>
          <w:sz w:val="21"/>
        </w:rPr>
        <w:t>Mejorar los centros de producción acuícola estatales (vía gobiernos regionales, sector privado o APP) para abastecer semilla de buena calidad.</w:t>
      </w:r>
    </w:p>
    <w:p>
      <w:pPr>
        <w:pStyle w:val="ListBullet"/>
      </w:pPr>
      <w:r>
        <w:rPr>
          <w:rFonts w:ascii="Calibri" w:hAnsi="Calibri"/>
          <w:b w:val="0"/>
          <w:i w:val="0"/>
          <w:color w:val="1A2238"/>
          <w:sz w:val="21"/>
        </w:rPr>
        <w:t>Promover la producción de alimento de buena calidad con normas técnicas de alimento balanceado (usando harina de pescado u otros sustitutos de bajo costo) e instalar plantas piloto.</w:t>
      </w:r>
    </w:p>
    <w:p>
      <w:pPr>
        <w:pStyle w:val="ListBullet"/>
      </w:pPr>
      <w:r>
        <w:rPr>
          <w:rFonts w:ascii="Calibri" w:hAnsi="Calibri"/>
          <w:b w:val="0"/>
          <w:i w:val="0"/>
          <w:color w:val="1A2238"/>
          <w:sz w:val="21"/>
        </w:rPr>
        <w:t>Establecer programas de capacitación y extensión sistemática en las Regiones, e implementar protocolos de buenas prácticas acuícolas en granjas demostrativas.</w:t>
      </w:r>
    </w:p>
    <w:p>
      <w:pPr>
        <w:pStyle w:val="ListBullet"/>
      </w:pPr>
      <w:r>
        <w:rPr>
          <w:rFonts w:ascii="Calibri" w:hAnsi="Calibri"/>
          <w:b w:val="0"/>
          <w:i w:val="0"/>
          <w:color w:val="1A2238"/>
          <w:sz w:val="21"/>
        </w:rPr>
        <w:t>Mejorar la formación de profesionales a nivel universitario y de postgrado en acuicultura.</w:t>
      </w:r>
    </w:p>
    <w:p>
      <w:pPr>
        <w:pStyle w:val="ListBullet"/>
      </w:pPr>
      <w:r>
        <w:rPr>
          <w:rFonts w:ascii="Calibri" w:hAnsi="Calibri"/>
          <w:b w:val="0"/>
          <w:i w:val="0"/>
          <w:color w:val="1A2238"/>
          <w:sz w:val="21"/>
        </w:rPr>
        <w:t>Establecer un sistema nacional de sanidad acuícola con centros de referencia equipados y unidades de base para monitoreo, y regular la prestación de servicios de sanidad acuícola.</w:t>
      </w:r>
    </w:p>
    <w:p>
      <w:pPr>
        <w:pStyle w:val="ListBullet"/>
      </w:pPr>
      <w:r>
        <w:rPr>
          <w:rFonts w:ascii="Calibri" w:hAnsi="Calibri"/>
          <w:b w:val="0"/>
          <w:i w:val="0"/>
          <w:color w:val="1A2238"/>
          <w:sz w:val="21"/>
        </w:rPr>
        <w:t>Establecer prioridades de investigación por especies (exóticas con tecnologías conocidas y nativas) articulando instituciones de investigación con empresas, gremios e inversionistas.</w:t>
      </w:r>
    </w:p>
    <w:p>
      <w:pPr>
        <w:pStyle w:val="ListBullet"/>
      </w:pPr>
      <w:r>
        <w:rPr>
          <w:rFonts w:ascii="Calibri" w:hAnsi="Calibri"/>
          <w:b w:val="0"/>
          <w:i w:val="0"/>
          <w:color w:val="1A2238"/>
          <w:sz w:val="21"/>
        </w:rPr>
        <w:t>Desarrollar y adaptar tecnologías para la producción nacional de semilla de buena calidad (nauplios, postlarvas, ovas embrionadas).</w:t>
      </w:r>
    </w:p>
    <w:p>
      <w:pPr>
        <w:pStyle w:val="ListBullet"/>
      </w:pPr>
      <w:r>
        <w:rPr>
          <w:rFonts w:ascii="Calibri" w:hAnsi="Calibri"/>
          <w:b w:val="0"/>
          <w:i w:val="0"/>
          <w:color w:val="1A2238"/>
          <w:sz w:val="21"/>
        </w:rPr>
        <w:t>Fortalecer capacidades organizacionales y de recursos humanos para la ordenación y desarrollo, y el sistema de captación y difusión de información estadística.</w:t>
      </w:r>
    </w:p>
    <w:p>
      <w:pPr>
        <w:pStyle w:val="ListBullet"/>
      </w:pPr>
      <w:r>
        <w:rPr>
          <w:rFonts w:ascii="Calibri" w:hAnsi="Calibri"/>
          <w:b w:val="0"/>
          <w:i w:val="0"/>
          <w:color w:val="1A2238"/>
          <w:sz w:val="21"/>
        </w:rPr>
        <w:t>Analizar, diseñar e implementar instrumentos para el incremento, distribución y óptimo uso de recursos financieros para la acuicultura.</w:t>
      </w:r>
    </w:p>
    <w:p>
      <w:pPr>
        <w:pStyle w:val="ListBullet"/>
      </w:pPr>
      <w:r>
        <w:rPr>
          <w:rFonts w:ascii="Calibri" w:hAnsi="Calibri"/>
          <w:b w:val="0"/>
          <w:i w:val="0"/>
          <w:color w:val="1A2238"/>
          <w:sz w:val="21"/>
        </w:rPr>
        <w:t>Crear el Instituto Nacional de Acuicultura.</w:t>
      </w:r>
    </w:p>
    <w:p>
      <w:pPr>
        <w:pStyle w:val="ListBullet"/>
      </w:pPr>
      <w:r>
        <w:rPr>
          <w:rFonts w:ascii="Calibri" w:hAnsi="Calibri"/>
          <w:b w:val="0"/>
          <w:i w:val="0"/>
          <w:color w:val="1A2238"/>
          <w:sz w:val="21"/>
        </w:rPr>
        <w:t>Reducir sistemáticamente la corrupción y eliminar la injerencia política partidaria en la designación de cargos técnicos.</w:t>
      </w:r>
    </w:p>
    <w:p>
      <w:r>
        <w:rPr>
          <w:rFonts w:ascii="Calibri" w:hAnsi="Calibri"/>
          <w:b/>
          <w:i w:val="0"/>
          <w:color w:val="D91023"/>
          <w:sz w:val="26"/>
        </w:rPr>
        <w:t>Recomendación de política</w:t>
      </w:r>
    </w:p>
    <w:p>
      <w:r>
        <w:rPr>
          <w:rFonts w:ascii="Calibri" w:hAnsi="Calibri"/>
          <w:b w:val="0"/>
          <w:i w:val="0"/>
          <w:color w:val="1A2238"/>
          <w:sz w:val="21"/>
        </w:rPr>
        <w:t>Priorizar primero la Reforma del Estado —para tener un Estado fuerte, eficaz, eficiente y transparente— como condición trascendente para el desarrollo nacional; una vez iniciado ese proceso, promover decididamente la actividad acuícola creando el Instituto Nacional de Acuicultura y ejecutando el Plan Perú 2040 con voluntad política que trascienda los periodos de gobierno, capital humano probo, ciencia, tecnología e innovación, e inversión privada y del Estado, manteniendo el equilibrio entre la pesca extractiva y la acuicultura.</w:t>
      </w:r>
    </w:p>
    <w:p/>
    <w:p>
      <w:r>
        <w:rPr>
          <w:rFonts w:ascii="Calibri" w:hAnsi="Calibri"/>
          <w:b w:val="0"/>
          <w:i/>
          <w:color w:val="5D6B88"/>
          <w:sz w:val="15"/>
        </w:rPr>
        <w:t>Documento potenciado a partir de la redacción de la comisión. Las cifras provienen del documento fuente y están sujetas a validación oficial. La silueta territorial es referencial.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