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Comercio Exterior e Inserción en el Mercado Externo</w:t>
      </w:r>
    </w:p>
    <w:p>
      <w:r>
        <w:rPr>
          <w:rFonts w:ascii="Calibri" w:hAnsi="Calibri"/>
          <w:b w:val="0"/>
          <w:i/>
          <w:color w:val="5D6B88"/>
          <w:sz w:val="21"/>
        </w:rPr>
        <w:t>Eje estratégico: Competitividad</w:t>
      </w:r>
    </w:p>
    <w:p>
      <w:r>
        <w:rPr>
          <w:rFonts w:ascii="Calibri" w:hAnsi="Calibri"/>
          <w:b w:val="0"/>
          <w:i w:val="0"/>
          <w:color w:val="1A2238"/>
          <w:sz w:val="23"/>
        </w:rPr>
        <w:t>Documento de la Comisión Temática de Comercio Exterior del Plan Perú 2040 (CNPP / Colegio de Ingenieros del Perú). Parte de un diagnóstico donde las exportaciones peruanas crecieron con fuerte dinamismo en la última década (17% anual promedio), pero siguen concentradas en metales y minerales con bajo valor agregado y dependientes de pocos socios comerciales (EEUU, Reino Unido, Suiza y China concentran ~50% de las exportaciones). La propuesta central es la diversificación de exportaciones y el desarrollo de oferta exportable con valor agregado, sustentada en competitividad y productividad. Plantea una visión del Perú como líder mundial en exportación de productos y servicios con valor agregado, una base de desarrollo orientada a reducir la pobreza generando empleo formal, y prioriza acciones estratégicas mediante la matriz IGO: asociatividad en agroexportación orgánica, transformación productiva con valor agregado y creación de una organización de desarrollo de software para TIC. Incluye objetivos estratégicos (bienestar ciudadano, reducción de la pobreza, intercambio comercial con variedad de productos, descentralización regional del sector exportador), mapa de procesos "Perú, Hub del Comercio Internacional", involucrados y análisis de riesgos.</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14</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7</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10</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En el año 2040, el Perú será una sociedad humanista, educada en la economía de la creatividad, aprovechando su biodiversidad convertida en su eje económico, innovando a través de la ciencia y la tecnología con productos y servicios de alta calidad. Será líder en la oferta exportable de productos con valor agregado, con población de alta calidad de vida en un ambiente sostenible, y con el Perú como marca de la biodiversidad en el mundo. Específicamente para Comercio Exterior: País reconocido mundialmente como líder en exportación de productos y servicios con valor agregado, competitivo de acuerdo a estándares internacionales.</w:t>
      </w:r>
    </w:p>
    <w:p>
      <w:r>
        <w:rPr>
          <w:rFonts w:ascii="Calibri" w:hAnsi="Calibri"/>
          <w:b/>
          <w:i w:val="0"/>
          <w:color w:val="D91023"/>
          <w:sz w:val="26"/>
        </w:rPr>
        <w:t>Diagnóstico — brecha 2026</w:t>
      </w:r>
    </w:p>
    <w:p>
      <w:pPr>
        <w:pStyle w:val="ListBullet"/>
      </w:pPr>
      <w:r>
        <w:rPr>
          <w:rFonts w:ascii="Calibri" w:hAnsi="Calibri"/>
          <w:b w:val="0"/>
          <w:i w:val="0"/>
          <w:color w:val="1A2238"/>
          <w:sz w:val="21"/>
        </w:rPr>
        <w:t>Pese a que las exportaciones se triplicaron en la última década (crecimiento promedio anual del 17%), su composición no ha cambiado: metales y minerales siguen siendo los principales productos de exportación, sin amplio efecto multiplicador en empleo, ingreso ni demanda doméstica de insumos y bienes de capital.</w:t>
      </w:r>
    </w:p>
    <w:p>
      <w:pPr>
        <w:pStyle w:val="ListBullet"/>
      </w:pPr>
      <w:r>
        <w:rPr>
          <w:rFonts w:ascii="Calibri" w:hAnsi="Calibri"/>
          <w:b w:val="0"/>
          <w:i w:val="0"/>
          <w:color w:val="1A2238"/>
          <w:sz w:val="21"/>
        </w:rPr>
        <w:t>Concentración de las exportaciones en productos extractivos: entre 2000 y 2008 los sectores extractivos (minería) representaron el 64% del total de exportaciones, con valor agregado muy bajo.</w:t>
      </w:r>
    </w:p>
    <w:p>
      <w:pPr>
        <w:pStyle w:val="ListBullet"/>
      </w:pPr>
      <w:r>
        <w:rPr>
          <w:rFonts w:ascii="Calibri" w:hAnsi="Calibri"/>
          <w:b w:val="0"/>
          <w:i w:val="0"/>
          <w:color w:val="1A2238"/>
          <w:sz w:val="21"/>
        </w:rPr>
        <w:t>Concentración en pocos socios comerciales: cuatro países (EEUU, Reino Unido, Suiza y China) conforman el mercado para aproximadamente el 50% de las exportaciones peruanas, generando dependencia de su situación económica.</w:t>
      </w:r>
    </w:p>
    <w:p>
      <w:pPr>
        <w:pStyle w:val="ListBullet"/>
      </w:pPr>
      <w:r>
        <w:rPr>
          <w:rFonts w:ascii="Calibri" w:hAnsi="Calibri"/>
          <w:b w:val="0"/>
          <w:i w:val="0"/>
          <w:color w:val="1A2238"/>
          <w:sz w:val="21"/>
        </w:rPr>
        <w:t>Dependencia de la balanza comercial respecto a los términos de intercambio y a los precios internacionales, vulnerable a la caída de la demanda externa (caso China, cuyo crecimiento bajó de más de 10% a 7.5%).</w:t>
      </w:r>
    </w:p>
    <w:p>
      <w:pPr>
        <w:pStyle w:val="ListBullet"/>
      </w:pPr>
      <w:r>
        <w:rPr>
          <w:rFonts w:ascii="Calibri" w:hAnsi="Calibri"/>
          <w:b w:val="0"/>
          <w:i w:val="0"/>
          <w:color w:val="1A2238"/>
          <w:sz w:val="21"/>
        </w:rPr>
        <w:t>Factores externos adversos: desaceleración de China, devaluación del dólar norteamericano y crisis de la zona Euro.</w:t>
      </w:r>
    </w:p>
    <w:p>
      <w:pPr>
        <w:pStyle w:val="ListBullet"/>
      </w:pPr>
      <w:r>
        <w:rPr>
          <w:rFonts w:ascii="Calibri" w:hAnsi="Calibri"/>
          <w:b w:val="0"/>
          <w:i w:val="0"/>
          <w:color w:val="1A2238"/>
          <w:sz w:val="21"/>
        </w:rPr>
        <w:t>Necesidad urgente de mejorar estándares en calidad de las instituciones públicas y privadas, infraestructura y servicios de salud y educación primaria (según WEF), como freno a la competitividad.</w:t>
      </w:r>
    </w:p>
    <w:p>
      <w:pPr>
        <w:pStyle w:val="ListBullet"/>
      </w:pPr>
      <w:r>
        <w:rPr>
          <w:rFonts w:ascii="Calibri" w:hAnsi="Calibri"/>
          <w:b w:val="0"/>
          <w:i w:val="0"/>
          <w:color w:val="1A2238"/>
          <w:sz w:val="21"/>
        </w:rPr>
        <w:t>Notable brecha de inversión en infraestructura de transporte (carreteras, ferrocarriles, puertos, aeropuertos), telecomunicaciones y electricidad.</w:t>
      </w:r>
    </w:p>
    <w:p>
      <w:pPr>
        <w:pStyle w:val="ListBullet"/>
      </w:pPr>
      <w:r>
        <w:rPr>
          <w:rFonts w:ascii="Calibri" w:hAnsi="Calibri"/>
          <w:b w:val="0"/>
          <w:i w:val="0"/>
          <w:color w:val="1A2238"/>
          <w:sz w:val="21"/>
        </w:rPr>
        <w:t>Geografía accidentada que dificulta el transporte de mercadería de las regiones a puertos y aeropuertos; el mal estado o falta de carreteras incrementa costos y reduce competitividad, afectando especialmente a empresas fuera de Lima.</w:t>
      </w:r>
    </w:p>
    <w:p>
      <w:pPr>
        <w:pStyle w:val="ListBullet"/>
      </w:pPr>
      <w:r>
        <w:rPr>
          <w:rFonts w:ascii="Calibri" w:hAnsi="Calibri"/>
          <w:b w:val="0"/>
          <w:i w:val="0"/>
          <w:color w:val="1A2238"/>
          <w:sz w:val="21"/>
        </w:rPr>
        <w:t>Bajo posicionamiento relativo en desarrollo humano: en el ranking de 182 países del IDH 2009 el Perú se ubicaba en el puesto 78 (IDH 0.806, categoría desarrollo humano alto) y en el puesto 8 entre los países de América del Sur más México, superando solo a Ecuador, Paraguay y Bolivia.</w:t>
      </w:r>
    </w:p>
    <w:p>
      <w:pPr>
        <w:pStyle w:val="ListBullet"/>
      </w:pPr>
      <w:r>
        <w:rPr>
          <w:rFonts w:ascii="Calibri" w:hAnsi="Calibri"/>
          <w:b w:val="0"/>
          <w:i w:val="0"/>
          <w:color w:val="1A2238"/>
          <w:sz w:val="21"/>
        </w:rPr>
        <w:t>Bajo nivel de confianza en el poder judicial para asuntos del inversionista y el trabajador; soluciones a problemas en tiempos excesivos.</w:t>
      </w:r>
    </w:p>
    <w:p>
      <w:pPr>
        <w:pStyle w:val="ListBullet"/>
      </w:pPr>
      <w:r>
        <w:rPr>
          <w:rFonts w:ascii="Calibri" w:hAnsi="Calibri"/>
          <w:b w:val="0"/>
          <w:i w:val="0"/>
          <w:color w:val="1A2238"/>
          <w:sz w:val="21"/>
        </w:rPr>
        <w:t>Falta de apoyo de técnicos a regiones y empresarios para planificar obras de mediano plazo (tres a cinco años).</w:t>
      </w:r>
    </w:p>
    <w:p>
      <w:pPr>
        <w:pStyle w:val="ListBullet"/>
      </w:pPr>
      <w:r>
        <w:rPr>
          <w:rFonts w:ascii="Calibri" w:hAnsi="Calibri"/>
          <w:b w:val="0"/>
          <w:i w:val="0"/>
          <w:color w:val="1A2238"/>
          <w:sz w:val="21"/>
        </w:rPr>
        <w:t>Inversionista y profesional sin seguridad de planificar en qué región vivir.</w:t>
      </w:r>
    </w:p>
    <w:p>
      <w:pPr>
        <w:pStyle w:val="ListBullet"/>
      </w:pPr>
      <w:r>
        <w:rPr>
          <w:rFonts w:ascii="Calibri" w:hAnsi="Calibri"/>
          <w:b w:val="0"/>
          <w:i w:val="0"/>
          <w:color w:val="1A2238"/>
          <w:sz w:val="21"/>
        </w:rPr>
        <w:t>Informalidad del empleo y necesidad de convertir puestos informales en formales.</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Crecimiento promedio anual de las exportaciones (última década)</w:t>
            </w:r>
          </w:p>
        </w:tc>
        <w:tc>
          <w:tcPr>
            <w:tcW w:type="dxa" w:w="1656"/>
          </w:tcPr>
          <w:p>
            <w:r>
              <w:rPr>
                <w:rFonts w:ascii="Calibri" w:hAnsi="Calibri"/>
                <w:b w:val="0"/>
                <w:i w:val="0"/>
                <w:color w:val="1A2238"/>
                <w:sz w:val="16"/>
              </w:rPr>
              <w:t>17</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anual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de Comercio Exterior, punto de partida</w:t>
            </w:r>
          </w:p>
        </w:tc>
      </w:tr>
      <w:tr>
        <w:tc>
          <w:tcPr>
            <w:tcW w:type="dxa" w:w="1656"/>
          </w:tcPr>
          <w:p>
            <w:r>
              <w:rPr>
                <w:rFonts w:ascii="Calibri" w:hAnsi="Calibri"/>
                <w:b/>
                <w:i w:val="0"/>
                <w:color w:val="1A2238"/>
                <w:sz w:val="16"/>
              </w:rPr>
              <w:t>Crecimiento acumulado de exportaciones peruanas 2000-2008</w:t>
            </w:r>
          </w:p>
        </w:tc>
        <w:tc>
          <w:tcPr>
            <w:tcW w:type="dxa" w:w="1656"/>
          </w:tcPr>
          <w:p>
            <w:r>
              <w:rPr>
                <w:rFonts w:ascii="Calibri" w:hAnsi="Calibri"/>
                <w:b w:val="0"/>
                <w:i w:val="0"/>
                <w:color w:val="1A2238"/>
                <w:sz w:val="16"/>
              </w:rPr>
              <w:t>128</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Diagnóstico</w:t>
            </w:r>
          </w:p>
        </w:tc>
      </w:tr>
      <w:tr>
        <w:tc>
          <w:tcPr>
            <w:tcW w:type="dxa" w:w="1656"/>
          </w:tcPr>
          <w:p>
            <w:r>
              <w:rPr>
                <w:rFonts w:ascii="Calibri" w:hAnsi="Calibri"/>
                <w:b/>
                <w:i w:val="0"/>
                <w:color w:val="1A2238"/>
                <w:sz w:val="16"/>
              </w:rPr>
              <w:t>Participación de sectores extractivos (minería) en el total de exportaciones</w:t>
            </w:r>
          </w:p>
        </w:tc>
        <w:tc>
          <w:tcPr>
            <w:tcW w:type="dxa" w:w="1656"/>
          </w:tcPr>
          <w:p>
            <w:r>
              <w:rPr>
                <w:rFonts w:ascii="Calibri" w:hAnsi="Calibri"/>
                <w:b w:val="0"/>
                <w:i w:val="0"/>
                <w:color w:val="1A2238"/>
                <w:sz w:val="16"/>
              </w:rPr>
              <w:t>64</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total de exportaciones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Diagnóstico (2000-2008)</w:t>
            </w:r>
          </w:p>
        </w:tc>
      </w:tr>
      <w:tr>
        <w:tc>
          <w:tcPr>
            <w:tcW w:type="dxa" w:w="1656"/>
          </w:tcPr>
          <w:p>
            <w:r>
              <w:rPr>
                <w:rFonts w:ascii="Calibri" w:hAnsi="Calibri"/>
                <w:b/>
                <w:i w:val="0"/>
                <w:color w:val="1A2238"/>
                <w:sz w:val="16"/>
              </w:rPr>
              <w:t>Concentración de exportaciones en cuatro socios comerciales (EEUU, Reino Unido, Suiza, China)</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las exportaciones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Punto de partida</w:t>
            </w:r>
          </w:p>
        </w:tc>
      </w:tr>
      <w:tr>
        <w:tc>
          <w:tcPr>
            <w:tcW w:type="dxa" w:w="1656"/>
          </w:tcPr>
          <w:p>
            <w:r>
              <w:rPr>
                <w:rFonts w:ascii="Calibri" w:hAnsi="Calibri"/>
                <w:b/>
                <w:i w:val="0"/>
                <w:color w:val="1A2238"/>
                <w:sz w:val="16"/>
              </w:rPr>
              <w:t>Aporte de las exportaciones al PBI (ingreso fiscal acumulado)</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PBI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Punto de partida</w:t>
            </w:r>
          </w:p>
        </w:tc>
      </w:tr>
      <w:tr>
        <w:tc>
          <w:tcPr>
            <w:tcW w:type="dxa" w:w="1656"/>
          </w:tcPr>
          <w:p>
            <w:r>
              <w:rPr>
                <w:rFonts w:ascii="Calibri" w:hAnsi="Calibri"/>
                <w:b/>
                <w:i w:val="0"/>
                <w:color w:val="1A2238"/>
                <w:sz w:val="16"/>
              </w:rPr>
              <w:t>Posición en el Índice de Competitividad Global (WEF)</w:t>
            </w:r>
          </w:p>
        </w:tc>
        <w:tc>
          <w:tcPr>
            <w:tcW w:type="dxa" w:w="1656"/>
          </w:tcPr>
          <w:p>
            <w:r>
              <w:rPr>
                <w:rFonts w:ascii="Calibri" w:hAnsi="Calibri"/>
                <w:b w:val="0"/>
                <w:i w:val="0"/>
                <w:color w:val="1A2238"/>
                <w:sz w:val="16"/>
              </w:rPr>
              <w:t>78</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puesto (de 133 países, 2009-2010)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World Economic Forum, Global Competitiveness Report 2009-2010</w:t>
            </w:r>
          </w:p>
        </w:tc>
      </w:tr>
      <w:tr>
        <w:tc>
          <w:tcPr>
            <w:tcW w:type="dxa" w:w="1656"/>
          </w:tcPr>
          <w:p>
            <w:r>
              <w:rPr>
                <w:rFonts w:ascii="Calibri" w:hAnsi="Calibri"/>
                <w:b/>
                <w:i w:val="0"/>
                <w:color w:val="1A2238"/>
                <w:sz w:val="16"/>
              </w:rPr>
              <w:t>Índice de Desarrollo Humano (IDH) del Perú</w:t>
            </w:r>
          </w:p>
        </w:tc>
        <w:tc>
          <w:tcPr>
            <w:tcW w:type="dxa" w:w="1656"/>
          </w:tcPr>
          <w:p>
            <w:r>
              <w:rPr>
                <w:rFonts w:ascii="Calibri" w:hAnsi="Calibri"/>
                <w:b w:val="0"/>
                <w:i w:val="0"/>
                <w:color w:val="1A2238"/>
                <w:sz w:val="16"/>
              </w:rPr>
              <w:t>0.806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índice (0-1)</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PNUD, Informe de Desarrollo Humano 2009</w:t>
            </w:r>
          </w:p>
        </w:tc>
      </w:tr>
      <w:tr>
        <w:tc>
          <w:tcPr>
            <w:tcW w:type="dxa" w:w="1656"/>
          </w:tcPr>
          <w:p>
            <w:r>
              <w:rPr>
                <w:rFonts w:ascii="Calibri" w:hAnsi="Calibri"/>
                <w:b/>
                <w:i w:val="0"/>
                <w:color w:val="1A2238"/>
                <w:sz w:val="16"/>
              </w:rPr>
              <w:t>Posición del Perú en el ranking mundial de IDH</w:t>
            </w:r>
          </w:p>
        </w:tc>
        <w:tc>
          <w:tcPr>
            <w:tcW w:type="dxa" w:w="1656"/>
          </w:tcPr>
          <w:p>
            <w:r>
              <w:rPr>
                <w:rFonts w:ascii="Calibri" w:hAnsi="Calibri"/>
                <w:b w:val="0"/>
                <w:i w:val="0"/>
                <w:color w:val="1A2238"/>
                <w:sz w:val="16"/>
              </w:rPr>
              <w:t>78</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puesto (de 182 países)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PNUD, Informe de Desarrollo Humano 2009</w:t>
            </w:r>
          </w:p>
        </w:tc>
      </w:tr>
      <w:tr>
        <w:tc>
          <w:tcPr>
            <w:tcW w:type="dxa" w:w="1656"/>
          </w:tcPr>
          <w:p>
            <w:r>
              <w:rPr>
                <w:rFonts w:ascii="Calibri" w:hAnsi="Calibri"/>
                <w:b/>
                <w:i w:val="0"/>
                <w:color w:val="1A2238"/>
                <w:sz w:val="16"/>
              </w:rPr>
              <w:t>Empleos directos generados por el comercio exterior</w:t>
            </w:r>
          </w:p>
        </w:tc>
        <w:tc>
          <w:tcPr>
            <w:tcW w:type="dxa" w:w="1656"/>
          </w:tcPr>
          <w:p>
            <w:r>
              <w:rPr>
                <w:rFonts w:ascii="Calibri" w:hAnsi="Calibri"/>
                <w:b w:val="0"/>
                <w:i w:val="0"/>
                <w:color w:val="1A2238"/>
                <w:sz w:val="16"/>
              </w:rPr>
              <w:t>829 809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empleos directos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Ministerio de Trabajo y Promoción del Empleo y Ministerio de Industria, Comercio y Turismo</w:t>
            </w:r>
          </w:p>
        </w:tc>
      </w:tr>
      <w:tr>
        <w:tc>
          <w:tcPr>
            <w:tcW w:type="dxa" w:w="1656"/>
          </w:tcPr>
          <w:p>
            <w:r>
              <w:rPr>
                <w:rFonts w:ascii="Calibri" w:hAnsi="Calibri"/>
                <w:b/>
                <w:i w:val="0"/>
                <w:color w:val="1A2238"/>
                <w:sz w:val="16"/>
              </w:rPr>
              <w:t>Empleos indirectos generados por el comercio exterior</w:t>
            </w:r>
          </w:p>
        </w:tc>
        <w:tc>
          <w:tcPr>
            <w:tcW w:type="dxa" w:w="1656"/>
          </w:tcPr>
          <w:p>
            <w:r>
              <w:rPr>
                <w:rFonts w:ascii="Calibri" w:hAnsi="Calibri"/>
                <w:b w:val="0"/>
                <w:i w:val="0"/>
                <w:color w:val="1A2238"/>
                <w:sz w:val="16"/>
              </w:rPr>
              <w:t>693 777</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empleos indirectos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Ministerio de Trabajo y Promoción del Empleo y Ministerio de Industria, Comercio y Turismo</w:t>
            </w:r>
          </w:p>
        </w:tc>
      </w:tr>
      <w:tr>
        <w:tc>
          <w:tcPr>
            <w:tcW w:type="dxa" w:w="1656"/>
          </w:tcPr>
          <w:p>
            <w:r>
              <w:rPr>
                <w:rFonts w:ascii="Calibri" w:hAnsi="Calibri"/>
                <w:b/>
                <w:i w:val="0"/>
                <w:color w:val="1A2238"/>
                <w:sz w:val="16"/>
              </w:rPr>
              <w:t>Empleos inducidos generados por el comercio exterior</w:t>
            </w:r>
          </w:p>
        </w:tc>
        <w:tc>
          <w:tcPr>
            <w:tcW w:type="dxa" w:w="1656"/>
          </w:tcPr>
          <w:p>
            <w:r>
              <w:rPr>
                <w:rFonts w:ascii="Calibri" w:hAnsi="Calibri"/>
                <w:b w:val="0"/>
                <w:i w:val="0"/>
                <w:color w:val="1A2238"/>
                <w:sz w:val="16"/>
              </w:rPr>
              <w:t>1 742 599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empleos inducidos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Ministerio de Trabajo y Promoción del Empleo y Ministerio de Industria, Comercio y Turismo</w:t>
            </w:r>
          </w:p>
        </w:tc>
      </w:tr>
      <w:tr>
        <w:tc>
          <w:tcPr>
            <w:tcW w:type="dxa" w:w="1656"/>
          </w:tcPr>
          <w:p>
            <w:r>
              <w:rPr>
                <w:rFonts w:ascii="Calibri" w:hAnsi="Calibri"/>
                <w:b/>
                <w:i w:val="0"/>
                <w:color w:val="1A2238"/>
                <w:sz w:val="16"/>
              </w:rPr>
              <w:t>Ingreso fiscal acumulado por exportaciones (última década)</w:t>
            </w:r>
          </w:p>
        </w:tc>
        <w:tc>
          <w:tcPr>
            <w:tcW w:type="dxa" w:w="1656"/>
          </w:tcPr>
          <w:p>
            <w:r>
              <w:rPr>
                <w:rFonts w:ascii="Calibri" w:hAnsi="Calibri"/>
                <w:b w:val="0"/>
                <w:i w:val="0"/>
                <w:color w:val="1A2238"/>
                <w:sz w:val="16"/>
              </w:rPr>
              <w:t>44 000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soles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Punto de partida</w:t>
            </w:r>
          </w:p>
        </w:tc>
      </w:tr>
      <w:tr>
        <w:tc>
          <w:tcPr>
            <w:tcW w:type="dxa" w:w="1656"/>
          </w:tcPr>
          <w:p>
            <w:r>
              <w:rPr>
                <w:rFonts w:ascii="Calibri" w:hAnsi="Calibri"/>
                <w:b/>
                <w:i w:val="0"/>
                <w:color w:val="1A2238"/>
                <w:sz w:val="16"/>
              </w:rPr>
              <w:t>Ancho de banda mínimo (infraestructura de telecomunicaciones, base de desarrollo)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35</w:t>
            </w:r>
          </w:p>
        </w:tc>
        <w:tc>
          <w:tcPr>
            <w:tcW w:type="dxa" w:w="1656"/>
          </w:tcPr>
          <w:p>
            <w:r>
              <w:rPr>
                <w:rFonts w:ascii="Calibri" w:hAnsi="Calibri"/>
                <w:b w:val="0"/>
                <w:i w:val="0"/>
                <w:color w:val="1A2238"/>
                <w:sz w:val="16"/>
              </w:rPr>
              <w:t>Mb (mínimo)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Mapa de procesos, bases de desarrollo</w:t>
            </w:r>
          </w:p>
        </w:tc>
      </w:tr>
      <w:tr>
        <w:tc>
          <w:tcPr>
            <w:tcW w:type="dxa" w:w="1656"/>
          </w:tcPr>
          <w:p>
            <w:r>
              <w:rPr>
                <w:rFonts w:ascii="Calibri" w:hAnsi="Calibri"/>
                <w:b/>
                <w:i w:val="0"/>
                <w:color w:val="1A2238"/>
                <w:sz w:val="16"/>
              </w:rPr>
              <w:t>Diversificación de mercado: colocación de exportación por país (política de Estado propuesta)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 de la exportación en un mismo país (tope)</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Análisis FODA / Respuesta a riesgos (contingencia)</w:t>
            </w:r>
          </w:p>
        </w:tc>
      </w:tr>
    </w:tbl>
    <w:p>
      <w:r>
        <w:rPr>
          <w:rFonts w:ascii="Calibri" w:hAnsi="Calibri"/>
          <w:b/>
          <w:i w:val="0"/>
          <w:color w:val="D91023"/>
          <w:sz w:val="26"/>
        </w:rPr>
        <w:t>Pilares de la estrategia</w:t>
      </w:r>
    </w:p>
    <w:p>
      <w:r>
        <w:rPr>
          <w:rFonts w:ascii="Calibri" w:hAnsi="Calibri"/>
          <w:b/>
          <w:i w:val="0"/>
          <w:color w:val="1A2238"/>
          <w:sz w:val="21"/>
        </w:rPr>
        <w:t xml:space="preserve">Comercio exterior al servicio del desarrollo nacional y de la lucha contra la pobreza: </w:t>
      </w:r>
      <w:r>
        <w:rPr>
          <w:rFonts w:ascii="Calibri" w:hAnsi="Calibri"/>
          <w:b w:val="0"/>
          <w:i w:val="0"/>
          <w:color w:val="1A2238"/>
          <w:sz w:val="21"/>
        </w:rPr>
        <w:t>El comercio exterior del Perú es un instrumento para el desarrollo nacional, a partir de las posibilidades y desafíos de la escena internacional. La prioridad es la lucha contra la pobreza.</w:t>
      </w:r>
    </w:p>
    <w:p>
      <w:r>
        <w:rPr>
          <w:rFonts w:ascii="Calibri" w:hAnsi="Calibri"/>
          <w:b/>
          <w:i w:val="0"/>
          <w:color w:val="1A2238"/>
          <w:sz w:val="21"/>
        </w:rPr>
        <w:t xml:space="preserve">Desarrollo de una cultura exportadora a nivel nacional: </w:t>
      </w:r>
      <w:r>
        <w:rPr>
          <w:rFonts w:ascii="Calibri" w:hAnsi="Calibri"/>
          <w:b w:val="0"/>
          <w:i w:val="0"/>
          <w:color w:val="1A2238"/>
          <w:sz w:val="21"/>
        </w:rPr>
        <w:t>Cultura exportadora enfocada a satisfacer las necesidades del mercado global, logrando colocar productos y servicios con alto valor agregado, apoyados en los Tratados de Libre Comercio suscritos.</w:t>
      </w:r>
    </w:p>
    <w:p>
      <w:r>
        <w:rPr>
          <w:rFonts w:ascii="Calibri" w:hAnsi="Calibri"/>
          <w:b/>
          <w:i w:val="0"/>
          <w:color w:val="1A2238"/>
          <w:sz w:val="21"/>
        </w:rPr>
        <w:t xml:space="preserve">Promoción de las inversiones y el comercio: </w:t>
      </w:r>
      <w:r>
        <w:rPr>
          <w:rFonts w:ascii="Calibri" w:hAnsi="Calibri"/>
          <w:b w:val="0"/>
          <w:i w:val="0"/>
          <w:color w:val="1A2238"/>
          <w:sz w:val="21"/>
        </w:rPr>
        <w:t>El Perú debe ser un país competitivo en la economía internacional, promoviendo las exportaciones, el comercio y la inversión.</w:t>
      </w:r>
    </w:p>
    <w:p>
      <w:r>
        <w:rPr>
          <w:rFonts w:ascii="Calibri" w:hAnsi="Calibri"/>
          <w:b/>
          <w:i w:val="0"/>
          <w:color w:val="1A2238"/>
          <w:sz w:val="21"/>
        </w:rPr>
        <w:t xml:space="preserve">Intensificación de las relaciones con países industrializados y del Asia Pacífico: </w:t>
      </w:r>
      <w:r>
        <w:rPr>
          <w:rFonts w:ascii="Calibri" w:hAnsi="Calibri"/>
          <w:b w:val="0"/>
          <w:i w:val="0"/>
          <w:color w:val="1A2238"/>
          <w:sz w:val="21"/>
        </w:rPr>
        <w:t>El comercio exterior orientará sus relaciones con países industrializados y del Asia Pacífico en función del interés compartido y el beneficio mutuo: fuentes de cooperación, mercados para los productos y potenciales inversionistas en el país.</w:t>
      </w:r>
    </w:p>
    <w:p>
      <w:r>
        <w:rPr>
          <w:rFonts w:ascii="Calibri" w:hAnsi="Calibri"/>
          <w:b/>
          <w:i w:val="0"/>
          <w:color w:val="1A2238"/>
          <w:sz w:val="21"/>
        </w:rPr>
        <w:t xml:space="preserve">Instituciones transparentes y profesionales: </w:t>
      </w:r>
      <w:r>
        <w:rPr>
          <w:rFonts w:ascii="Calibri" w:hAnsi="Calibri"/>
          <w:b w:val="0"/>
          <w:i w:val="0"/>
          <w:color w:val="1A2238"/>
          <w:sz w:val="21"/>
        </w:rPr>
        <w:t>Instituciones transparentes y profesionales que faciliten el comercio exterior, garantizando predicción en su desempeño y una atmósfera positiva para la inversión privada.</w:t>
      </w:r>
    </w:p>
    <w:p>
      <w:r>
        <w:rPr>
          <w:rFonts w:ascii="Calibri" w:hAnsi="Calibri"/>
          <w:b/>
          <w:i w:val="0"/>
          <w:color w:val="1A2238"/>
          <w:sz w:val="21"/>
        </w:rPr>
        <w:t xml:space="preserve">Mejora sustantiva de la calidad de la educación: </w:t>
      </w:r>
      <w:r>
        <w:rPr>
          <w:rFonts w:ascii="Calibri" w:hAnsi="Calibri"/>
          <w:b w:val="0"/>
          <w:i w:val="0"/>
          <w:color w:val="1A2238"/>
          <w:sz w:val="21"/>
        </w:rPr>
        <w:t>Mejorar sustantivamente la calidad de la educación, orientándola hacia una sociedad del conocimiento, con las matemáticas como eje central y fomento del emprendedorismo.</w:t>
      </w:r>
    </w:p>
    <w:p>
      <w:r>
        <w:rPr>
          <w:rFonts w:ascii="Calibri" w:hAnsi="Calibri"/>
          <w:b/>
          <w:i w:val="0"/>
          <w:color w:val="1A2238"/>
          <w:sz w:val="21"/>
        </w:rPr>
        <w:t xml:space="preserve">Reglas de juego claras: </w:t>
      </w:r>
      <w:r>
        <w:rPr>
          <w:rFonts w:ascii="Calibri" w:hAnsi="Calibri"/>
          <w:b w:val="0"/>
          <w:i w:val="0"/>
          <w:color w:val="1A2238"/>
          <w:sz w:val="21"/>
        </w:rPr>
        <w:t>Establecer reglas de juego claras que den estabilidad y predictibilidad al sector exportador y a la inversión.</w:t>
      </w:r>
    </w:p>
    <w:p>
      <w:r>
        <w:rPr>
          <w:rFonts w:ascii="Calibri" w:hAnsi="Calibri"/>
          <w:b/>
          <w:i w:val="0"/>
          <w:color w:val="D91023"/>
          <w:sz w:val="26"/>
        </w:rPr>
        <w:t>Metas 2050</w:t>
      </w:r>
    </w:p>
    <w:p>
      <w:pPr>
        <w:pStyle w:val="ListBullet"/>
      </w:pPr>
      <w:r>
        <w:rPr>
          <w:rFonts w:ascii="Calibri" w:hAnsi="Calibri"/>
          <w:b w:val="0"/>
          <w:i w:val="0"/>
          <w:color w:val="1A2238"/>
          <w:sz w:val="21"/>
        </w:rPr>
        <w:t>Tener un mejor rendimiento mediante técnicas avanzadas de producción (I&amp;D) en la agroexportación de productos orgánicos.</w:t>
      </w:r>
    </w:p>
    <w:p>
      <w:pPr>
        <w:pStyle w:val="ListBullet"/>
      </w:pPr>
      <w:r>
        <w:rPr>
          <w:rFonts w:ascii="Calibri" w:hAnsi="Calibri"/>
          <w:b w:val="0"/>
          <w:i w:val="0"/>
          <w:color w:val="1A2238"/>
          <w:sz w:val="21"/>
        </w:rPr>
        <w:t>Estandarizar los procesos de producción para exportación con productos de calidad y estándar internacional.</w:t>
      </w:r>
    </w:p>
    <w:p>
      <w:pPr>
        <w:pStyle w:val="ListBullet"/>
      </w:pPr>
      <w:r>
        <w:rPr>
          <w:rFonts w:ascii="Calibri" w:hAnsi="Calibri"/>
          <w:b w:val="0"/>
          <w:i w:val="0"/>
          <w:color w:val="1A2238"/>
          <w:sz w:val="21"/>
        </w:rPr>
        <w:t>Usar las TIC para el desarrollo de oportunidades en nuevos mercados, de forma interactiva, con bases de desarrollo informáticas y herramientas de desempeño empresarial.</w:t>
      </w:r>
    </w:p>
    <w:p>
      <w:pPr>
        <w:pStyle w:val="ListBullet"/>
      </w:pPr>
      <w:r>
        <w:rPr>
          <w:rFonts w:ascii="Calibri" w:hAnsi="Calibri"/>
          <w:b w:val="0"/>
          <w:i w:val="0"/>
          <w:color w:val="1A2238"/>
          <w:sz w:val="21"/>
        </w:rPr>
        <w:t>Lograr un intercambio comercial en crecimiento.</w:t>
      </w:r>
    </w:p>
    <w:p>
      <w:pPr>
        <w:pStyle w:val="ListBullet"/>
      </w:pPr>
      <w:r>
        <w:rPr>
          <w:rFonts w:ascii="Calibri" w:hAnsi="Calibri"/>
          <w:b w:val="0"/>
          <w:i w:val="0"/>
          <w:color w:val="1A2238"/>
          <w:sz w:val="21"/>
        </w:rPr>
        <w:t>Alcanzar bienestar ciudadano (aumento de puestos de trabajo formales con mejores ingresos que el promedio nacional; mejoras en ingreso percápita, clase media, consumo interno y salarios del sector exportador).</w:t>
      </w:r>
    </w:p>
    <w:p>
      <w:pPr>
        <w:pStyle w:val="ListBullet"/>
      </w:pPr>
      <w:r>
        <w:rPr>
          <w:rFonts w:ascii="Calibri" w:hAnsi="Calibri"/>
          <w:b w:val="0"/>
          <w:i w:val="0"/>
          <w:color w:val="1A2238"/>
          <w:sz w:val="21"/>
        </w:rPr>
        <w:t>Lograr un intercambio comercial con variedad de productos hacia todos los países (diversificación de productos no tradicionales y mayor participación de mercados con TLC, con volumen representado por las Mypes).</w:t>
      </w:r>
    </w:p>
    <w:p>
      <w:pPr>
        <w:pStyle w:val="ListBullet"/>
      </w:pPr>
      <w:r>
        <w:rPr>
          <w:rFonts w:ascii="Calibri" w:hAnsi="Calibri"/>
          <w:b w:val="0"/>
          <w:i w:val="0"/>
          <w:color w:val="1A2238"/>
          <w:sz w:val="21"/>
        </w:rPr>
        <w:t>Descentralización del sector exportador (aumento de la participación de las regiones en las exportaciones, generando nuevos focos de desarrollo al interior del país).</w:t>
      </w:r>
    </w:p>
    <w:p>
      <w:pPr>
        <w:pStyle w:val="ListBullet"/>
      </w:pPr>
      <w:r>
        <w:rPr>
          <w:rFonts w:ascii="Calibri" w:hAnsi="Calibri"/>
          <w:b w:val="0"/>
          <w:i w:val="0"/>
          <w:color w:val="1A2238"/>
          <w:sz w:val="21"/>
        </w:rPr>
        <w:t>Reducción de la pobreza, medida por el Índice de Desarrollo Humano (IDH), obtenida en gran parte por el sector exportador.</w:t>
      </w:r>
    </w:p>
    <w:p>
      <w:pPr>
        <w:pStyle w:val="ListBullet"/>
      </w:pPr>
      <w:r>
        <w:rPr>
          <w:rFonts w:ascii="Calibri" w:hAnsi="Calibri"/>
          <w:b w:val="0"/>
          <w:i w:val="0"/>
          <w:color w:val="1A2238"/>
          <w:sz w:val="21"/>
        </w:rPr>
        <w:t>Diversificar mercados, colocando un tope de 5% de la exportación por país para que un problema en ese país no impacte en los ingresos de la Nación.</w:t>
      </w:r>
    </w:p>
    <w:p>
      <w:pPr>
        <w:pStyle w:val="ListBullet"/>
      </w:pPr>
      <w:r>
        <w:rPr>
          <w:rFonts w:ascii="Calibri" w:hAnsi="Calibri"/>
          <w:b w:val="0"/>
          <w:i w:val="0"/>
          <w:color w:val="1A2238"/>
          <w:sz w:val="21"/>
        </w:rPr>
        <w:t>Convertir puestos de trabajo informales actuales en puestos formales.</w:t>
      </w:r>
    </w:p>
    <w:p>
      <w:r>
        <w:rPr>
          <w:rFonts w:ascii="Calibri" w:hAnsi="Calibri"/>
          <w:b/>
          <w:i w:val="0"/>
          <w:color w:val="D91023"/>
          <w:sz w:val="26"/>
        </w:rPr>
        <w:t>Acciones e iniciativas</w:t>
      </w:r>
    </w:p>
    <w:p>
      <w:pPr>
        <w:pStyle w:val="ListBullet"/>
      </w:pPr>
      <w:r>
        <w:rPr>
          <w:rFonts w:ascii="Calibri" w:hAnsi="Calibri"/>
          <w:b w:val="0"/>
          <w:i w:val="0"/>
          <w:color w:val="1A2238"/>
          <w:sz w:val="21"/>
        </w:rPr>
        <w:t>Fomentar la asociatividad en la agroexportación de productos orgánicos (orientar a agrupaciones regionales de nichos productores hacia una oferta exportable sostenida).</w:t>
      </w:r>
    </w:p>
    <w:p>
      <w:pPr>
        <w:pStyle w:val="ListBullet"/>
      </w:pPr>
      <w:r>
        <w:rPr>
          <w:rFonts w:ascii="Calibri" w:hAnsi="Calibri"/>
          <w:b w:val="0"/>
          <w:i w:val="0"/>
          <w:color w:val="1A2238"/>
          <w:sz w:val="21"/>
        </w:rPr>
        <w:t>Potenciar la transformación productiva con valor agregado (producción con actores asociados/entrelazados, ubicando nichos de mercado y atendiendo demandas de exportación con valor agregado).</w:t>
      </w:r>
    </w:p>
    <w:p>
      <w:pPr>
        <w:pStyle w:val="ListBullet"/>
      </w:pPr>
      <w:r>
        <w:rPr>
          <w:rFonts w:ascii="Calibri" w:hAnsi="Calibri"/>
          <w:b w:val="0"/>
          <w:i w:val="0"/>
          <w:color w:val="1A2238"/>
          <w:sz w:val="21"/>
        </w:rPr>
        <w:t>Crear una organización de Desarrollo de Software para TIC (centros de conocimiento para futuras tecnologías; reclutamiento de profesionales de alto nivel).</w:t>
      </w:r>
    </w:p>
    <w:p>
      <w:pPr>
        <w:pStyle w:val="ListBullet"/>
      </w:pPr>
      <w:r>
        <w:rPr>
          <w:rFonts w:ascii="Calibri" w:hAnsi="Calibri"/>
          <w:b w:val="0"/>
          <w:i w:val="0"/>
          <w:color w:val="1A2238"/>
          <w:sz w:val="21"/>
        </w:rPr>
        <w:t>Programas de Formación Emprendedora para la Innovación / Desarrollo de jóvenes emprendedores para la innovación y desarrollo.</w:t>
      </w:r>
    </w:p>
    <w:p>
      <w:pPr>
        <w:pStyle w:val="ListBullet"/>
      </w:pPr>
      <w:r>
        <w:rPr>
          <w:rFonts w:ascii="Calibri" w:hAnsi="Calibri"/>
          <w:b w:val="0"/>
          <w:i w:val="0"/>
          <w:color w:val="1A2238"/>
          <w:sz w:val="21"/>
        </w:rPr>
        <w:t>Generar una nueva configuración de los Cluster Agroindustriales (definir estándares nacionales e internacionales para la formación de clusters).</w:t>
      </w:r>
    </w:p>
    <w:p>
      <w:pPr>
        <w:pStyle w:val="ListBullet"/>
      </w:pPr>
      <w:r>
        <w:rPr>
          <w:rFonts w:ascii="Calibri" w:hAnsi="Calibri"/>
          <w:b w:val="0"/>
          <w:i w:val="0"/>
          <w:color w:val="1A2238"/>
          <w:sz w:val="21"/>
        </w:rPr>
        <w:t>Crear una oferta integrada en turismo con servicios médicos (posicionamiento competitivo de la medicina peruana, plantas medicinales aplicadas a industria farmacéutica).</w:t>
      </w:r>
    </w:p>
    <w:p>
      <w:pPr>
        <w:pStyle w:val="ListBullet"/>
      </w:pPr>
      <w:r>
        <w:rPr>
          <w:rFonts w:ascii="Calibri" w:hAnsi="Calibri"/>
          <w:b w:val="0"/>
          <w:i w:val="0"/>
          <w:color w:val="1A2238"/>
          <w:sz w:val="21"/>
        </w:rPr>
        <w:t>Desarrollar una oferta para sectores de bajo poder adquisitivo de turismo virtual (software y herramientas que muestren el país en 3D, Google Earth Perú).</w:t>
      </w:r>
    </w:p>
    <w:p>
      <w:pPr>
        <w:pStyle w:val="ListBullet"/>
      </w:pPr>
      <w:r>
        <w:rPr>
          <w:rFonts w:ascii="Calibri" w:hAnsi="Calibri"/>
          <w:b w:val="0"/>
          <w:i w:val="0"/>
          <w:color w:val="1A2238"/>
          <w:sz w:val="21"/>
        </w:rPr>
        <w:t>Rediseño de envases con enfoque de mercado (presentación de calidad con mensaje de marca Perú).</w:t>
      </w:r>
    </w:p>
    <w:p>
      <w:pPr>
        <w:pStyle w:val="ListBullet"/>
      </w:pPr>
      <w:r>
        <w:rPr>
          <w:rFonts w:ascii="Calibri" w:hAnsi="Calibri"/>
          <w:b w:val="0"/>
          <w:i w:val="0"/>
          <w:color w:val="1A2238"/>
          <w:sz w:val="21"/>
        </w:rPr>
        <w:t>Utilización de la radio como medio de educación y facilitador del comercio en las zonas no costeras (radio de frecuencia media para capacitar e informar a pobladores).</w:t>
      </w:r>
    </w:p>
    <w:p>
      <w:pPr>
        <w:pStyle w:val="ListBullet"/>
      </w:pPr>
      <w:r>
        <w:rPr>
          <w:rFonts w:ascii="Calibri" w:hAnsi="Calibri"/>
          <w:b w:val="0"/>
          <w:i w:val="0"/>
          <w:color w:val="1A2238"/>
          <w:sz w:val="21"/>
        </w:rPr>
        <w:t>Crear un Centro de Vigilancia Estratégica para los sectores exportadores actuales y potenciales.</w:t>
      </w:r>
    </w:p>
    <w:p>
      <w:pPr>
        <w:pStyle w:val="ListBullet"/>
      </w:pPr>
      <w:r>
        <w:rPr>
          <w:rFonts w:ascii="Calibri" w:hAnsi="Calibri"/>
          <w:b w:val="0"/>
          <w:i w:val="0"/>
          <w:color w:val="1A2238"/>
          <w:sz w:val="21"/>
        </w:rPr>
        <w:t>Asegurar estabilidad jurídica y macroeconómica y preservar una política cambiaria flexible (propuesta del Acuerdo Nacional).</w:t>
      </w:r>
    </w:p>
    <w:p>
      <w:pPr>
        <w:pStyle w:val="ListBullet"/>
      </w:pPr>
      <w:r>
        <w:rPr>
          <w:rFonts w:ascii="Calibri" w:hAnsi="Calibri"/>
          <w:b w:val="0"/>
          <w:i w:val="0"/>
          <w:color w:val="1A2238"/>
          <w:sz w:val="21"/>
        </w:rPr>
        <w:t>Establecer una política arancelaria que reduzca el nivel y la dispersión de aranceles, respetando acuerdos de integración y compromisos multilaterales.</w:t>
      </w:r>
    </w:p>
    <w:p>
      <w:pPr>
        <w:pStyle w:val="ListBullet"/>
      </w:pPr>
      <w:r>
        <w:rPr>
          <w:rFonts w:ascii="Calibri" w:hAnsi="Calibri"/>
          <w:b w:val="0"/>
          <w:i w:val="0"/>
          <w:color w:val="1A2238"/>
          <w:sz w:val="21"/>
        </w:rPr>
        <w:t>Propiciar una política tributaria equitativa y neutral que asegure la devolución de impuestos al exportador.</w:t>
      </w:r>
    </w:p>
    <w:p>
      <w:pPr>
        <w:pStyle w:val="ListBullet"/>
      </w:pPr>
      <w:r>
        <w:rPr>
          <w:rFonts w:ascii="Calibri" w:hAnsi="Calibri"/>
          <w:b w:val="0"/>
          <w:i w:val="0"/>
          <w:color w:val="1A2238"/>
          <w:sz w:val="21"/>
        </w:rPr>
        <w:t>Fortalecer la cadena logística de comercio exterior y consolidar la facilitación aduanera y comercial.</w:t>
      </w:r>
    </w:p>
    <w:p>
      <w:pPr>
        <w:pStyle w:val="ListBullet"/>
      </w:pPr>
      <w:r>
        <w:rPr>
          <w:rFonts w:ascii="Calibri" w:hAnsi="Calibri"/>
          <w:b w:val="0"/>
          <w:i w:val="0"/>
          <w:color w:val="1A2238"/>
          <w:sz w:val="21"/>
        </w:rPr>
        <w:t>Mejorar la infraestructura vinculada al comercio exterior con participación del sector privado.</w:t>
      </w:r>
    </w:p>
    <w:p>
      <w:pPr>
        <w:pStyle w:val="ListBullet"/>
      </w:pPr>
      <w:r>
        <w:rPr>
          <w:rFonts w:ascii="Calibri" w:hAnsi="Calibri"/>
          <w:b w:val="0"/>
          <w:i w:val="0"/>
          <w:color w:val="1A2238"/>
          <w:sz w:val="21"/>
        </w:rPr>
        <w:t>Establecer una política dinámica e integral de promoción comercial.</w:t>
      </w:r>
    </w:p>
    <w:p>
      <w:pPr>
        <w:pStyle w:val="ListBullet"/>
      </w:pPr>
      <w:r>
        <w:rPr>
          <w:rFonts w:ascii="Calibri" w:hAnsi="Calibri"/>
          <w:b w:val="0"/>
          <w:i w:val="0"/>
          <w:color w:val="1A2238"/>
          <w:sz w:val="21"/>
        </w:rPr>
        <w:t>Combatir la subvaluación, el dumping, el contrabando y otras formas de competencia desleal.</w:t>
      </w:r>
    </w:p>
    <w:p>
      <w:pPr>
        <w:pStyle w:val="ListBullet"/>
      </w:pPr>
      <w:r>
        <w:rPr>
          <w:rFonts w:ascii="Calibri" w:hAnsi="Calibri"/>
          <w:b w:val="0"/>
          <w:i w:val="0"/>
          <w:color w:val="1A2238"/>
          <w:sz w:val="21"/>
        </w:rPr>
        <w:t>Eliminar barreras para-arancelarias a las exportaciones.</w:t>
      </w:r>
    </w:p>
    <w:p>
      <w:pPr>
        <w:pStyle w:val="ListBullet"/>
      </w:pPr>
      <w:r>
        <w:rPr>
          <w:rFonts w:ascii="Calibri" w:hAnsi="Calibri"/>
          <w:b w:val="0"/>
          <w:i w:val="0"/>
          <w:color w:val="1A2238"/>
          <w:sz w:val="21"/>
        </w:rPr>
        <w:t>Procurar nuevos y mejores acuerdos comerciales para incrementar y diversificar mercados para productos y servicios con valor agregado.</w:t>
      </w:r>
    </w:p>
    <w:p>
      <w:pPr>
        <w:pStyle w:val="ListBullet"/>
      </w:pPr>
      <w:r>
        <w:rPr>
          <w:rFonts w:ascii="Calibri" w:hAnsi="Calibri"/>
          <w:b w:val="0"/>
          <w:i w:val="0"/>
          <w:color w:val="1A2238"/>
          <w:sz w:val="21"/>
        </w:rPr>
        <w:t>Promover una oferta exportable y competitiva con participación de la pequeña y mediana empresa, y organizar a pequeños productores en consorcios de exportación.</w:t>
      </w:r>
    </w:p>
    <w:p>
      <w:pPr>
        <w:pStyle w:val="ListBullet"/>
      </w:pPr>
      <w:r>
        <w:rPr>
          <w:rFonts w:ascii="Calibri" w:hAnsi="Calibri"/>
          <w:b w:val="0"/>
          <w:i w:val="0"/>
          <w:color w:val="1A2238"/>
          <w:sz w:val="21"/>
        </w:rPr>
        <w:t>Armonizar las políticas públicas que afectan el comercio exterior y establecer un órgano coordinador del sector público y privado.</w:t>
      </w:r>
    </w:p>
    <w:p>
      <w:pPr>
        <w:pStyle w:val="ListBullet"/>
      </w:pPr>
      <w:r>
        <w:rPr>
          <w:rFonts w:ascii="Calibri" w:hAnsi="Calibri"/>
          <w:b w:val="0"/>
          <w:i w:val="0"/>
          <w:color w:val="1A2238"/>
          <w:sz w:val="21"/>
        </w:rPr>
        <w:t>Diseñar un sistema integral de información comercial e impulsar la capacidad de gestión de las misiones diplomáticas comerciales.</w:t>
      </w:r>
    </w:p>
    <w:p>
      <w:r>
        <w:rPr>
          <w:rFonts w:ascii="Calibri" w:hAnsi="Calibri"/>
          <w:b/>
          <w:i w:val="0"/>
          <w:color w:val="D91023"/>
          <w:sz w:val="26"/>
        </w:rPr>
        <w:t>Recomendación de política</w:t>
      </w:r>
    </w:p>
    <w:p>
      <w:r>
        <w:rPr>
          <w:rFonts w:ascii="Calibri" w:hAnsi="Calibri"/>
          <w:b w:val="0"/>
          <w:i w:val="0"/>
          <w:color w:val="1A2238"/>
          <w:sz w:val="21"/>
        </w:rPr>
        <w:t>Priorizar y realizar de inmediato las tres acciones estratégicas con mayor importancia y gobernabilidad según la matriz IGO: (a) fomentar la asociatividad en la agroexportación de productos orgánicos, (b) potenciar la transformación productiva con valor agregado y (c) crear una organización de Desarrollo de Software para TIC, como factor clave de éxito para diversificar la oferta exportable, generar empleo formal y reducir la pobreza.</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