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MYPE / MIPYMES</w:t>
      </w:r>
    </w:p>
    <w:p>
      <w:r>
        <w:rPr>
          <w:rFonts w:ascii="Calibri" w:hAnsi="Calibri"/>
          <w:b w:val="0"/>
          <w:i/>
          <w:color w:val="5D6B88"/>
          <w:sz w:val="21"/>
        </w:rPr>
        <w:t>Eje estratégico: Competitividad</w:t>
      </w:r>
    </w:p>
    <w:p>
      <w:r>
        <w:rPr>
          <w:rFonts w:ascii="Calibri" w:hAnsi="Calibri"/>
          <w:b w:val="0"/>
          <w:i w:val="0"/>
          <w:color w:val="1A2238"/>
          <w:sz w:val="23"/>
        </w:rPr>
        <w:t>Documento de la Comisión Temática MYPE/MIPYMES del Plan Perú 2040/2050 (CNPP / Colegio de Ingenieros del Perú). Parte de un diagnóstico donde el Perú tiene en promedio cuatro millones de micro y pequeñas empresas que generan el 40% del PBI y dan trabajo a diez millones de peruanos, pero el 65% son informales. Plantea una visión de MYPE asociadas, dinámicas, innovadoras y competitivas que producen bienes y servicios basados en el conocimiento técnico-científico, transitando de un enfoque "manufacturero" a uno "mentefacturero". Define 8 objetivos estratégicos, una matriz FODA, 15 acciones estratégicas priorizadas mediante matriz IGO, un mapa de procesos (país/usuario/interno/cultural), proyectos por objetivo, involucrados y riesgos. El factor clave de éxito es la formalización, la asociatividad, la transferencia tecnológica y la articulación MYPE-universidades-Estado.</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18</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6</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MYPE asociadas, dinámicas, innovadoras y competitivas que producen bienes y servicios con base en el conocimiento técnico y científico, comprometidas con el medio ambiente, que satisfacen las exigencias del mercado global basado en una economía de creatividad. En el año 2040 el Perú será una sociedad humanista, educada en la economía de la creatividad, aprovechando su biodiversidad como eje económico, innovando a través de la ciencia y la tecnología con productos y servicios de alta calidad, líder en oferta exportable con valor agregado.</w:t>
      </w:r>
    </w:p>
    <w:p>
      <w:r>
        <w:rPr>
          <w:rFonts w:ascii="Calibri" w:hAnsi="Calibri"/>
          <w:b/>
          <w:i w:val="0"/>
          <w:color w:val="D91023"/>
          <w:sz w:val="26"/>
        </w:rPr>
        <w:t>Diagnóstico — brecha 2026</w:t>
      </w:r>
    </w:p>
    <w:p>
      <w:pPr>
        <w:pStyle w:val="ListBullet"/>
      </w:pPr>
      <w:r>
        <w:rPr>
          <w:rFonts w:ascii="Calibri" w:hAnsi="Calibri"/>
          <w:b w:val="0"/>
          <w:i w:val="0"/>
          <w:color w:val="1A2238"/>
          <w:sz w:val="21"/>
        </w:rPr>
        <w:t>El 65% de las MYPE son informales; solo el 35% son formales.</w:t>
      </w:r>
    </w:p>
    <w:p>
      <w:pPr>
        <w:pStyle w:val="ListBullet"/>
      </w:pPr>
      <w:r>
        <w:rPr>
          <w:rFonts w:ascii="Calibri" w:hAnsi="Calibri"/>
          <w:b w:val="0"/>
          <w:i w:val="0"/>
          <w:color w:val="1A2238"/>
          <w:sz w:val="21"/>
        </w:rPr>
        <w:t>La distribución regional es muy desigual: más de la mitad de las MYPE formales se concentran en Lima y Callao; regiones como Ayacucho, Tumbes, Moquegua, Amazonas, Pasco, Apurímac, Madre de Dios y Huancavelica tienen menos del 1% de las microempresas formales.</w:t>
      </w:r>
    </w:p>
    <w:p>
      <w:pPr>
        <w:pStyle w:val="ListBullet"/>
      </w:pPr>
      <w:r>
        <w:rPr>
          <w:rFonts w:ascii="Calibri" w:hAnsi="Calibri"/>
          <w:b w:val="0"/>
          <w:i w:val="0"/>
          <w:color w:val="1A2238"/>
          <w:sz w:val="21"/>
        </w:rPr>
        <w:t>Acceso restringido a fuentes de financiamiento, dependencia bancaria y asunción de mayores costos financieros; insuficiente información y asesoramiento.</w:t>
      </w:r>
    </w:p>
    <w:p>
      <w:pPr>
        <w:pStyle w:val="ListBullet"/>
      </w:pPr>
      <w:r>
        <w:rPr>
          <w:rFonts w:ascii="Calibri" w:hAnsi="Calibri"/>
          <w:b w:val="0"/>
          <w:i w:val="0"/>
          <w:color w:val="1A2238"/>
          <w:sz w:val="21"/>
        </w:rPr>
        <w:t>Las MYPE desarrollan actividades en sectores de baja productividad y generan empleo de poca calidad y alta vulnerabilidad, llevando a sus trabajadores a la PEA subempleada.</w:t>
      </w:r>
    </w:p>
    <w:p>
      <w:pPr>
        <w:pStyle w:val="ListBullet"/>
      </w:pPr>
      <w:r>
        <w:rPr>
          <w:rFonts w:ascii="Calibri" w:hAnsi="Calibri"/>
          <w:b w:val="0"/>
          <w:i w:val="0"/>
          <w:color w:val="1A2238"/>
          <w:sz w:val="21"/>
        </w:rPr>
        <w:t>Acceso reducido a la tecnología; escasa especialización del trabajo; no suelen usar técnicas de gestión; gestión contable, económica y financiera deficiente.</w:t>
      </w:r>
    </w:p>
    <w:p>
      <w:pPr>
        <w:pStyle w:val="ListBullet"/>
      </w:pPr>
      <w:r>
        <w:rPr>
          <w:rFonts w:ascii="Calibri" w:hAnsi="Calibri"/>
          <w:b w:val="0"/>
          <w:i w:val="0"/>
          <w:color w:val="1A2238"/>
          <w:sz w:val="21"/>
        </w:rPr>
        <w:t>Dependencia de mano de obra familiar, recursos financieros limitados y acceso limitado al sector financiero formal; no separan finanzas del hogar y del negocio.</w:t>
      </w:r>
    </w:p>
    <w:p>
      <w:pPr>
        <w:pStyle w:val="ListBullet"/>
      </w:pPr>
      <w:r>
        <w:rPr>
          <w:rFonts w:ascii="Calibri" w:hAnsi="Calibri"/>
          <w:b w:val="0"/>
          <w:i w:val="0"/>
          <w:color w:val="1A2238"/>
          <w:sz w:val="21"/>
        </w:rPr>
        <w:t>Escasa capacidad de I+D (investigación y desarrollo) y escasa capacidad innovadora.</w:t>
      </w:r>
    </w:p>
    <w:p>
      <w:pPr>
        <w:pStyle w:val="ListBullet"/>
      </w:pPr>
      <w:r>
        <w:rPr>
          <w:rFonts w:ascii="Calibri" w:hAnsi="Calibri"/>
          <w:b w:val="0"/>
          <w:i w:val="0"/>
          <w:color w:val="1A2238"/>
          <w:sz w:val="21"/>
        </w:rPr>
        <w:t>Escaso conocimiento técnico-científico y mínimo conocimiento de plan de negocios y de negocios internacionales.</w:t>
      </w:r>
    </w:p>
    <w:p>
      <w:pPr>
        <w:pStyle w:val="ListBullet"/>
      </w:pPr>
      <w:r>
        <w:rPr>
          <w:rFonts w:ascii="Calibri" w:hAnsi="Calibri"/>
          <w:b w:val="0"/>
          <w:i w:val="0"/>
          <w:color w:val="1A2238"/>
          <w:sz w:val="21"/>
        </w:rPr>
        <w:t>Carencia de marcas corporativas y escaso acceso a la información (Internet).</w:t>
      </w:r>
    </w:p>
    <w:p>
      <w:pPr>
        <w:pStyle w:val="ListBullet"/>
      </w:pPr>
      <w:r>
        <w:rPr>
          <w:rFonts w:ascii="Calibri" w:hAnsi="Calibri"/>
          <w:b w:val="0"/>
          <w:i w:val="0"/>
          <w:color w:val="1A2238"/>
          <w:sz w:val="21"/>
        </w:rPr>
        <w:t>Capacitación tecnológica insuficiente y escasa presencia de tecnología en los procesos.</w:t>
      </w:r>
    </w:p>
    <w:p>
      <w:pPr>
        <w:pStyle w:val="ListBullet"/>
      </w:pPr>
      <w:r>
        <w:rPr>
          <w:rFonts w:ascii="Calibri" w:hAnsi="Calibri"/>
          <w:b w:val="0"/>
          <w:i w:val="0"/>
          <w:color w:val="1A2238"/>
          <w:sz w:val="21"/>
        </w:rPr>
        <w:t>Alta informalidad que resta potencialidad a los emprendimientos; riesgo de convertirse en "bolsones de pobreza" (Fernando Villarán).</w:t>
      </w:r>
    </w:p>
    <w:p>
      <w:pPr>
        <w:pStyle w:val="ListBullet"/>
      </w:pPr>
      <w:r>
        <w:rPr>
          <w:rFonts w:ascii="Calibri" w:hAnsi="Calibri"/>
          <w:b w:val="0"/>
          <w:i w:val="0"/>
          <w:color w:val="1A2238"/>
          <w:sz w:val="21"/>
        </w:rPr>
        <w:t>Falta de incentivos que favorezcan al sector (reducción de impuestos, becas) y para la investigación y desarrollo en el gobierno y el sector privado.</w:t>
      </w:r>
    </w:p>
    <w:p>
      <w:pPr>
        <w:pStyle w:val="ListBullet"/>
      </w:pPr>
      <w:r>
        <w:rPr>
          <w:rFonts w:ascii="Calibri" w:hAnsi="Calibri"/>
          <w:b w:val="0"/>
          <w:i w:val="0"/>
          <w:color w:val="1A2238"/>
          <w:sz w:val="21"/>
        </w:rPr>
        <w:t>No se cuenta con un censo actualizado de las MYPE.</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Número de micro y pequeñas empresas en el Perú</w:t>
            </w:r>
          </w:p>
        </w:tc>
        <w:tc>
          <w:tcPr>
            <w:tcW w:type="dxa" w:w="1656"/>
          </w:tcPr>
          <w:p>
            <w:r>
              <w:rPr>
                <w:rFonts w:ascii="Calibri" w:hAnsi="Calibri"/>
                <w:b w:val="0"/>
                <w:i w:val="0"/>
                <w:color w:val="1A2238"/>
                <w:sz w:val="16"/>
              </w:rPr>
              <w:t>4 000 000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empresas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(punto de partida)</w:t>
            </w:r>
          </w:p>
        </w:tc>
      </w:tr>
      <w:tr>
        <w:tc>
          <w:tcPr>
            <w:tcW w:type="dxa" w:w="1656"/>
          </w:tcPr>
          <w:p>
            <w:r>
              <w:rPr>
                <w:rFonts w:ascii="Calibri" w:hAnsi="Calibri"/>
                <w:b/>
                <w:i w:val="0"/>
                <w:color w:val="1A2238"/>
                <w:sz w:val="16"/>
              </w:rPr>
              <w:t>Aporte de las MYPE al PBI</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PBI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(punto de partida)</w:t>
            </w:r>
          </w:p>
        </w:tc>
      </w:tr>
      <w:tr>
        <w:tc>
          <w:tcPr>
            <w:tcW w:type="dxa" w:w="1656"/>
          </w:tcPr>
          <w:p>
            <w:r>
              <w:rPr>
                <w:rFonts w:ascii="Calibri" w:hAnsi="Calibri"/>
                <w:b/>
                <w:i w:val="0"/>
                <w:color w:val="1A2238"/>
                <w:sz w:val="16"/>
              </w:rPr>
              <w:t>Empleo generado por las MYPE</w:t>
            </w:r>
          </w:p>
        </w:tc>
        <w:tc>
          <w:tcPr>
            <w:tcW w:type="dxa" w:w="1656"/>
          </w:tcPr>
          <w:p>
            <w:r>
              <w:rPr>
                <w:rFonts w:ascii="Calibri" w:hAnsi="Calibri"/>
                <w:b w:val="0"/>
                <w:i w:val="0"/>
                <w:color w:val="1A2238"/>
                <w:sz w:val="16"/>
              </w:rPr>
              <w:t>10 000 000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peruanos con trabajo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(punto de partida)</w:t>
            </w:r>
          </w:p>
        </w:tc>
      </w:tr>
      <w:tr>
        <w:tc>
          <w:tcPr>
            <w:tcW w:type="dxa" w:w="1656"/>
          </w:tcPr>
          <w:p>
            <w:r>
              <w:rPr>
                <w:rFonts w:ascii="Calibri" w:hAnsi="Calibri"/>
                <w:b/>
                <w:i w:val="0"/>
                <w:color w:val="1A2238"/>
                <w:sz w:val="16"/>
              </w:rPr>
              <w:t>Informalidad de las MYPE</w:t>
            </w:r>
          </w:p>
        </w:tc>
        <w:tc>
          <w:tcPr>
            <w:tcW w:type="dxa" w:w="1656"/>
          </w:tcPr>
          <w:p>
            <w:r>
              <w:rPr>
                <w:rFonts w:ascii="Calibri" w:hAnsi="Calibri"/>
                <w:b w:val="0"/>
                <w:i w:val="0"/>
                <w:color w:val="1A2238"/>
                <w:sz w:val="16"/>
              </w:rPr>
              <w:t>65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informales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(punto de partida)</w:t>
            </w:r>
          </w:p>
        </w:tc>
      </w:tr>
      <w:tr>
        <w:tc>
          <w:tcPr>
            <w:tcW w:type="dxa" w:w="1656"/>
          </w:tcPr>
          <w:p>
            <w:r>
              <w:rPr>
                <w:rFonts w:ascii="Calibri" w:hAnsi="Calibri"/>
                <w:b/>
                <w:i w:val="0"/>
                <w:color w:val="1A2238"/>
                <w:sz w:val="16"/>
              </w:rPr>
              <w:t>MYPE formales</w:t>
            </w:r>
          </w:p>
        </w:tc>
        <w:tc>
          <w:tcPr>
            <w:tcW w:type="dxa" w:w="1656"/>
          </w:tcPr>
          <w:p>
            <w:r>
              <w:rPr>
                <w:rFonts w:ascii="Calibri" w:hAnsi="Calibri"/>
                <w:b w:val="0"/>
                <w:i w:val="0"/>
                <w:color w:val="1A2238"/>
                <w:sz w:val="16"/>
              </w:rPr>
              <w:t>35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(punto de partida)</w:t>
            </w:r>
          </w:p>
        </w:tc>
      </w:tr>
      <w:tr>
        <w:tc>
          <w:tcPr>
            <w:tcW w:type="dxa" w:w="1656"/>
          </w:tcPr>
          <w:p>
            <w:r>
              <w:rPr>
                <w:rFonts w:ascii="Calibri" w:hAnsi="Calibri"/>
                <w:b/>
                <w:i w:val="0"/>
                <w:color w:val="1A2238"/>
                <w:sz w:val="16"/>
              </w:rPr>
              <w:t>MYPE formales ubicadas en el sector terciario</w:t>
            </w:r>
          </w:p>
        </w:tc>
        <w:tc>
          <w:tcPr>
            <w:tcW w:type="dxa" w:w="1656"/>
          </w:tcPr>
          <w:p>
            <w:r>
              <w:rPr>
                <w:rFonts w:ascii="Calibri" w:hAnsi="Calibri"/>
                <w:b w:val="0"/>
                <w:i w:val="0"/>
                <w:color w:val="1A2238"/>
                <w:sz w:val="16"/>
              </w:rPr>
              <w:t>82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(diagnóstico nacional)</w:t>
            </w:r>
          </w:p>
        </w:tc>
      </w:tr>
      <w:tr>
        <w:tc>
          <w:tcPr>
            <w:tcW w:type="dxa" w:w="1656"/>
          </w:tcPr>
          <w:p>
            <w:r>
              <w:rPr>
                <w:rFonts w:ascii="Calibri" w:hAnsi="Calibri"/>
                <w:b/>
                <w:i w:val="0"/>
                <w:color w:val="1A2238"/>
                <w:sz w:val="16"/>
              </w:rPr>
              <w:t>MYPE formales en el sector comercio</w:t>
            </w:r>
          </w:p>
        </w:tc>
        <w:tc>
          <w:tcPr>
            <w:tcW w:type="dxa" w:w="1656"/>
          </w:tcPr>
          <w:p>
            <w:r>
              <w:rPr>
                <w:rFonts w:ascii="Calibri" w:hAnsi="Calibri"/>
                <w:b w:val="0"/>
                <w:i w:val="0"/>
                <w:color w:val="1A2238"/>
                <w:sz w:val="16"/>
              </w:rPr>
              <w:t>49.6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w:t>
            </w:r>
          </w:p>
        </w:tc>
      </w:tr>
      <w:tr>
        <w:tc>
          <w:tcPr>
            <w:tcW w:type="dxa" w:w="1656"/>
          </w:tcPr>
          <w:p>
            <w:r>
              <w:rPr>
                <w:rFonts w:ascii="Calibri" w:hAnsi="Calibri"/>
                <w:b/>
                <w:i w:val="0"/>
                <w:color w:val="1A2238"/>
                <w:sz w:val="16"/>
              </w:rPr>
              <w:t>MYPE formales en servicios</w:t>
            </w:r>
          </w:p>
        </w:tc>
        <w:tc>
          <w:tcPr>
            <w:tcW w:type="dxa" w:w="1656"/>
          </w:tcPr>
          <w:p>
            <w:r>
              <w:rPr>
                <w:rFonts w:ascii="Calibri" w:hAnsi="Calibri"/>
                <w:b w:val="0"/>
                <w:i w:val="0"/>
                <w:color w:val="1A2238"/>
                <w:sz w:val="16"/>
              </w:rPr>
              <w:t>33.3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w:t>
            </w:r>
          </w:p>
        </w:tc>
      </w:tr>
      <w:tr>
        <w:tc>
          <w:tcPr>
            <w:tcW w:type="dxa" w:w="1656"/>
          </w:tcPr>
          <w:p>
            <w:r>
              <w:rPr>
                <w:rFonts w:ascii="Calibri" w:hAnsi="Calibri"/>
                <w:b/>
                <w:i w:val="0"/>
                <w:color w:val="1A2238"/>
                <w:sz w:val="16"/>
              </w:rPr>
              <w:t>MYPE formales en manufactura</w:t>
            </w:r>
          </w:p>
        </w:tc>
        <w:tc>
          <w:tcPr>
            <w:tcW w:type="dxa" w:w="1656"/>
          </w:tcPr>
          <w:p>
            <w:r>
              <w:rPr>
                <w:rFonts w:ascii="Calibri" w:hAnsi="Calibri"/>
                <w:b w:val="0"/>
                <w:i w:val="0"/>
                <w:color w:val="1A2238"/>
                <w:sz w:val="16"/>
              </w:rPr>
              <w:t>11</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w:t>
            </w:r>
          </w:p>
        </w:tc>
      </w:tr>
      <w:tr>
        <w:tc>
          <w:tcPr>
            <w:tcW w:type="dxa" w:w="1656"/>
          </w:tcPr>
          <w:p>
            <w:r>
              <w:rPr>
                <w:rFonts w:ascii="Calibri" w:hAnsi="Calibri"/>
                <w:b/>
                <w:i w:val="0"/>
                <w:color w:val="1A2238"/>
                <w:sz w:val="16"/>
              </w:rPr>
              <w:t>MYPE formales en actividad agropecuaria</w:t>
            </w:r>
          </w:p>
        </w:tc>
        <w:tc>
          <w:tcPr>
            <w:tcW w:type="dxa" w:w="1656"/>
          </w:tcPr>
          <w:p>
            <w:r>
              <w:rPr>
                <w:rFonts w:ascii="Calibri" w:hAnsi="Calibri"/>
                <w:b w:val="0"/>
                <w:i w:val="0"/>
                <w:color w:val="1A2238"/>
                <w:sz w:val="16"/>
              </w:rPr>
              <w:t>2.9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w:t>
            </w:r>
          </w:p>
        </w:tc>
      </w:tr>
      <w:tr>
        <w:tc>
          <w:tcPr>
            <w:tcW w:type="dxa" w:w="1656"/>
          </w:tcPr>
          <w:p>
            <w:r>
              <w:rPr>
                <w:rFonts w:ascii="Calibri" w:hAnsi="Calibri"/>
                <w:b/>
                <w:i w:val="0"/>
                <w:color w:val="1A2238"/>
                <w:sz w:val="16"/>
              </w:rPr>
              <w:t>MYPE formales en construcción</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w:t>
            </w:r>
          </w:p>
        </w:tc>
      </w:tr>
      <w:tr>
        <w:tc>
          <w:tcPr>
            <w:tcW w:type="dxa" w:w="1656"/>
          </w:tcPr>
          <w:p>
            <w:r>
              <w:rPr>
                <w:rFonts w:ascii="Calibri" w:hAnsi="Calibri"/>
                <w:b/>
                <w:i w:val="0"/>
                <w:color w:val="1A2238"/>
                <w:sz w:val="16"/>
              </w:rPr>
              <w:t>MYPE formales en pesca, minería e hidrocarburos</w:t>
            </w:r>
          </w:p>
        </w:tc>
        <w:tc>
          <w:tcPr>
            <w:tcW w:type="dxa" w:w="1656"/>
          </w:tcPr>
          <w:p>
            <w:r>
              <w:rPr>
                <w:rFonts w:ascii="Calibri" w:hAnsi="Calibri"/>
                <w:b w:val="0"/>
                <w:i w:val="0"/>
                <w:color w:val="1A2238"/>
                <w:sz w:val="16"/>
              </w:rPr>
              <w:t>0.7</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w:t>
            </w:r>
          </w:p>
        </w:tc>
      </w:tr>
      <w:tr>
        <w:tc>
          <w:tcPr>
            <w:tcW w:type="dxa" w:w="1656"/>
          </w:tcPr>
          <w:p>
            <w:r>
              <w:rPr>
                <w:rFonts w:ascii="Calibri" w:hAnsi="Calibri"/>
                <w:b/>
                <w:i w:val="0"/>
                <w:color w:val="1A2238"/>
                <w:sz w:val="16"/>
              </w:rPr>
              <w:t>MYPE con certificación de buenas prácticas / normas ISO</w:t>
            </w:r>
          </w:p>
        </w:tc>
        <w:tc>
          <w:tcPr>
            <w:tcW w:type="dxa" w:w="1656"/>
          </w:tcPr>
          <w:p>
            <w:r>
              <w:rPr>
                <w:rFonts w:ascii="Calibri" w:hAnsi="Calibri"/>
                <w:b w:val="0"/>
                <w:i w:val="0"/>
                <w:color w:val="1A2238"/>
                <w:sz w:val="16"/>
              </w:rPr>
              <w:t>0.5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MYPE formales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w:t>
            </w:r>
          </w:p>
        </w:tc>
      </w:tr>
      <w:tr>
        <w:tc>
          <w:tcPr>
            <w:tcW w:type="dxa" w:w="1656"/>
          </w:tcPr>
          <w:p>
            <w:r>
              <w:rPr>
                <w:rFonts w:ascii="Calibri" w:hAnsi="Calibri"/>
                <w:b/>
                <w:i w:val="0"/>
                <w:color w:val="1A2238"/>
                <w:sz w:val="16"/>
              </w:rPr>
              <w:t>Cuota mínima de compras del Estado reservada a las MYPE</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las compras estatales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(Ley MYPE)</w:t>
            </w:r>
          </w:p>
        </w:tc>
      </w:tr>
      <w:tr>
        <w:tc>
          <w:tcPr>
            <w:tcW w:type="dxa" w:w="1656"/>
          </w:tcPr>
          <w:p>
            <w:r>
              <w:rPr>
                <w:rFonts w:ascii="Calibri" w:hAnsi="Calibri"/>
                <w:b/>
                <w:i w:val="0"/>
                <w:color w:val="1A2238"/>
                <w:sz w:val="16"/>
              </w:rPr>
              <w:t>Tasa única de impuesto a la renta para microempresas en el RER</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ingresos netos mensuales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(beneficios tributarios)</w:t>
            </w:r>
          </w:p>
        </w:tc>
      </w:tr>
      <w:tr>
        <w:tc>
          <w:tcPr>
            <w:tcW w:type="dxa" w:w="1656"/>
          </w:tcPr>
          <w:p>
            <w:r>
              <w:rPr>
                <w:rFonts w:ascii="Calibri" w:hAnsi="Calibri"/>
                <w:b/>
                <w:i w:val="0"/>
                <w:color w:val="1A2238"/>
                <w:sz w:val="16"/>
              </w:rPr>
              <w:t>Plazo de depreciación acelerada para pequeñas empresas</w:t>
            </w:r>
          </w:p>
        </w:tc>
        <w:tc>
          <w:tcPr>
            <w:tcW w:type="dxa" w:w="1656"/>
          </w:tcPr>
          <w:p>
            <w:r>
              <w:rPr>
                <w:rFonts w:ascii="Calibri" w:hAnsi="Calibri"/>
                <w:b w:val="0"/>
                <w:i w:val="0"/>
                <w:color w:val="1A2238"/>
                <w:sz w:val="16"/>
              </w:rPr>
              <w:t>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años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(beneficios tributarios pequeñas empresas)</w:t>
            </w:r>
          </w:p>
        </w:tc>
      </w:tr>
      <w:tr>
        <w:tc>
          <w:tcPr>
            <w:tcW w:type="dxa" w:w="1656"/>
          </w:tcPr>
          <w:p>
            <w:r>
              <w:rPr>
                <w:rFonts w:ascii="Calibri" w:hAnsi="Calibri"/>
                <w:b/>
                <w:i w:val="0"/>
                <w:color w:val="1A2238"/>
                <w:sz w:val="16"/>
              </w:rPr>
              <w:t>Trabajadores a formalizar (meta del DS de competitividad MYPE, 1 oct 2008)</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3 000 000</w:t>
            </w:r>
          </w:p>
        </w:tc>
        <w:tc>
          <w:tcPr>
            <w:tcW w:type="dxa" w:w="1656"/>
          </w:tcPr>
          <w:p>
            <w:r>
              <w:rPr>
                <w:rFonts w:ascii="Calibri" w:hAnsi="Calibri"/>
                <w:b w:val="0"/>
                <w:i w:val="0"/>
                <w:color w:val="1A2238"/>
                <w:sz w:val="16"/>
              </w:rPr>
              <w:t>trabajadores formalizados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(DS Ministerio de la Producción, 2008)</w:t>
            </w:r>
          </w:p>
        </w:tc>
      </w:tr>
      <w:tr>
        <w:tc>
          <w:tcPr>
            <w:tcW w:type="dxa" w:w="1656"/>
          </w:tcPr>
          <w:p>
            <w:r>
              <w:rPr>
                <w:rFonts w:ascii="Calibri" w:hAnsi="Calibri"/>
                <w:b/>
                <w:i w:val="0"/>
                <w:color w:val="1A2238"/>
                <w:sz w:val="16"/>
              </w:rPr>
              <w:t>Tiempo para constituir una empresa</w:t>
            </w:r>
          </w:p>
        </w:tc>
        <w:tc>
          <w:tcPr>
            <w:tcW w:type="dxa" w:w="1656"/>
          </w:tcPr>
          <w:p>
            <w:r>
              <w:rPr>
                <w:rFonts w:ascii="Calibri" w:hAnsi="Calibri"/>
                <w:b w:val="0"/>
                <w:i w:val="0"/>
                <w:color w:val="1A2238"/>
                <w:sz w:val="16"/>
              </w:rPr>
              <w:t>72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horas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MYPE (Ley MYPE)</w:t>
            </w:r>
          </w:p>
        </w:tc>
      </w:tr>
    </w:tbl>
    <w:p>
      <w:r>
        <w:rPr>
          <w:rFonts w:ascii="Calibri" w:hAnsi="Calibri"/>
          <w:b/>
          <w:i w:val="0"/>
          <w:color w:val="D91023"/>
          <w:sz w:val="26"/>
        </w:rPr>
        <w:t>Pilares de la estrategia</w:t>
      </w:r>
    </w:p>
    <w:p>
      <w:r>
        <w:rPr>
          <w:rFonts w:ascii="Calibri" w:hAnsi="Calibri"/>
          <w:b/>
          <w:i w:val="0"/>
          <w:color w:val="1A2238"/>
          <w:sz w:val="21"/>
        </w:rPr>
        <w:t xml:space="preserve">Asociatividad y articulación: </w:t>
      </w:r>
      <w:r>
        <w:rPr>
          <w:rFonts w:ascii="Calibri" w:hAnsi="Calibri"/>
          <w:b w:val="0"/>
          <w:i w:val="0"/>
          <w:color w:val="1A2238"/>
          <w:sz w:val="21"/>
        </w:rPr>
        <w:t>Interrelacionar a los micro, pequeños y medianos empresarios entre sí y con las grandes empresas; fomentar alianzas entre MYPE, universidades, institutos tecnológicos, institutos de investigación y gremios; promover el desarrollo de clústeres en diferentes regiones del país.</w:t>
      </w:r>
    </w:p>
    <w:p>
      <w:r>
        <w:rPr>
          <w:rFonts w:ascii="Calibri" w:hAnsi="Calibri"/>
          <w:b/>
          <w:i w:val="0"/>
          <w:color w:val="1A2238"/>
          <w:sz w:val="21"/>
        </w:rPr>
        <w:t xml:space="preserve">Desarrollo y transferencia tecnológica: </w:t>
      </w:r>
      <w:r>
        <w:rPr>
          <w:rFonts w:ascii="Calibri" w:hAnsi="Calibri"/>
          <w:b w:val="0"/>
          <w:i w:val="0"/>
          <w:color w:val="1A2238"/>
          <w:sz w:val="21"/>
        </w:rPr>
        <w:t>Desarrollar tecnologías en las empresas para incursionar en mercados tecnológicos (servicios y bienes) y aplicar nuevas tecnologías; crear y difundir programas de transferencia tecnológica y software práctico especializado y accesible para las MYPE.</w:t>
      </w:r>
    </w:p>
    <w:p>
      <w:r>
        <w:rPr>
          <w:rFonts w:ascii="Calibri" w:hAnsi="Calibri"/>
          <w:b/>
          <w:i w:val="0"/>
          <w:color w:val="1A2238"/>
          <w:sz w:val="21"/>
        </w:rPr>
        <w:t xml:space="preserve">Educación emprendedora e innovadora: </w:t>
      </w:r>
      <w:r>
        <w:rPr>
          <w:rFonts w:ascii="Calibri" w:hAnsi="Calibri"/>
          <w:b w:val="0"/>
          <w:i w:val="0"/>
          <w:color w:val="1A2238"/>
          <w:sz w:val="21"/>
        </w:rPr>
        <w:t>Fomentar la educación tecnológica, innovadora y emprendedora desde la etapa inicial de la formación estudiantil; incorporar talleres de creatividad, innovación y emprendimiento en la currícula de la educación básica.</w:t>
      </w:r>
    </w:p>
    <w:p>
      <w:r>
        <w:rPr>
          <w:rFonts w:ascii="Calibri" w:hAnsi="Calibri"/>
          <w:b/>
          <w:i w:val="0"/>
          <w:color w:val="1A2238"/>
          <w:sz w:val="21"/>
        </w:rPr>
        <w:t xml:space="preserve">Creación de empresas de base tecnológica: </w:t>
      </w:r>
      <w:r>
        <w:rPr>
          <w:rFonts w:ascii="Calibri" w:hAnsi="Calibri"/>
          <w:b w:val="0"/>
          <w:i w:val="0"/>
          <w:color w:val="1A2238"/>
          <w:sz w:val="21"/>
        </w:rPr>
        <w:t>Facilitar y promover la creación de PYME con base tecnológica y spin-off; crear incubadoras de empresa en universidades e institutos tecnológicos estatales.</w:t>
      </w:r>
    </w:p>
    <w:p>
      <w:r>
        <w:rPr>
          <w:rFonts w:ascii="Calibri" w:hAnsi="Calibri"/>
          <w:b/>
          <w:i w:val="0"/>
          <w:color w:val="1A2238"/>
          <w:sz w:val="21"/>
        </w:rPr>
        <w:t xml:space="preserve">Profesionalización del empresariado: </w:t>
      </w:r>
      <w:r>
        <w:rPr>
          <w:rFonts w:ascii="Calibri" w:hAnsi="Calibri"/>
          <w:b w:val="0"/>
          <w:i w:val="0"/>
          <w:color w:val="1A2238"/>
          <w:sz w:val="21"/>
        </w:rPr>
        <w:t>Incentivar la incorporación de profesionales y la profesionalización de los empresarios mediante sensibilización, capacitación y mostrar casos de éxito empresarial.</w:t>
      </w:r>
    </w:p>
    <w:p>
      <w:r>
        <w:rPr>
          <w:rFonts w:ascii="Calibri" w:hAnsi="Calibri"/>
          <w:b/>
          <w:i w:val="0"/>
          <w:color w:val="1A2238"/>
          <w:sz w:val="21"/>
        </w:rPr>
        <w:t xml:space="preserve">Centros especializados de apoyo: </w:t>
      </w:r>
      <w:r>
        <w:rPr>
          <w:rFonts w:ascii="Calibri" w:hAnsi="Calibri"/>
          <w:b w:val="0"/>
          <w:i w:val="0"/>
          <w:color w:val="1A2238"/>
          <w:sz w:val="21"/>
        </w:rPr>
        <w:t>Crear centros especializados de apoyo para las MYPE (CITEs, centros de vigilancia estratégica) y programas de apoyo desde las universidades e institutos.</w:t>
      </w:r>
    </w:p>
    <w:p>
      <w:r>
        <w:rPr>
          <w:rFonts w:ascii="Calibri" w:hAnsi="Calibri"/>
          <w:b/>
          <w:i w:val="0"/>
          <w:color w:val="1A2238"/>
          <w:sz w:val="21"/>
        </w:rPr>
        <w:t xml:space="preserve">Formalización: </w:t>
      </w:r>
      <w:r>
        <w:rPr>
          <w:rFonts w:ascii="Calibri" w:hAnsi="Calibri"/>
          <w:b w:val="0"/>
          <w:i w:val="0"/>
          <w:color w:val="1A2238"/>
          <w:sz w:val="21"/>
        </w:rPr>
        <w:t>Aumentar la formalización de las MYPE disminuyendo los obstáculos burocráticos, promoviendo el interés de formalizarse y proponiendo programas de certificación internacional.</w:t>
      </w:r>
    </w:p>
    <w:p>
      <w:r>
        <w:rPr>
          <w:rFonts w:ascii="Calibri" w:hAnsi="Calibri"/>
          <w:b/>
          <w:i w:val="0"/>
          <w:color w:val="1A2238"/>
          <w:sz w:val="21"/>
        </w:rPr>
        <w:t xml:space="preserve">Calidad de servicios y producción: </w:t>
      </w:r>
      <w:r>
        <w:rPr>
          <w:rFonts w:ascii="Calibri" w:hAnsi="Calibri"/>
          <w:b w:val="0"/>
          <w:i w:val="0"/>
          <w:color w:val="1A2238"/>
          <w:sz w:val="21"/>
        </w:rPr>
        <w:t>Aumentar la calidad de servicios y producción en las MYPE para hacerlas más competitivas y exitosas en el mercado global.</w:t>
      </w:r>
    </w:p>
    <w:p>
      <w:r>
        <w:rPr>
          <w:rFonts w:ascii="Calibri" w:hAnsi="Calibri"/>
          <w:b/>
          <w:i w:val="0"/>
          <w:color w:val="D91023"/>
          <w:sz w:val="26"/>
        </w:rPr>
        <w:t>Hoja de ruta · 100 primeros días</w:t>
      </w:r>
    </w:p>
    <w:p>
      <w:pPr>
        <w:pStyle w:val="ListBullet"/>
      </w:pPr>
      <w:r>
        <w:rPr>
          <w:rFonts w:ascii="Calibri" w:hAnsi="Calibri"/>
          <w:b w:val="0"/>
          <w:i w:val="0"/>
          <w:color w:val="1A2238"/>
          <w:sz w:val="21"/>
        </w:rPr>
        <w:t>Sensibilizar a las MYPE en la importancia de tener un plan de negocios.</w:t>
      </w:r>
      <w:r>
        <w:rPr>
          <w:rFonts w:ascii="Calibri" w:hAnsi="Calibri"/>
          <w:b w:val="0"/>
          <w:i/>
          <w:color w:val="B8840E"/>
          <w:sz w:val="17"/>
        </w:rPr>
        <w:t xml:space="preserve">  [Programa / sensibilización]</w:t>
      </w:r>
    </w:p>
    <w:p>
      <w:pPr>
        <w:pStyle w:val="ListBullet"/>
      </w:pPr>
      <w:r>
        <w:rPr>
          <w:rFonts w:ascii="Calibri" w:hAnsi="Calibri"/>
          <w:b w:val="0"/>
          <w:i w:val="0"/>
          <w:color w:val="1A2238"/>
          <w:sz w:val="21"/>
        </w:rPr>
        <w:t>Crear programas de formación en planes de negocio desde las municipalidades y gobiernos regionales.</w:t>
      </w:r>
      <w:r>
        <w:rPr>
          <w:rFonts w:ascii="Calibri" w:hAnsi="Calibri"/>
          <w:b w:val="0"/>
          <w:i/>
          <w:color w:val="B8840E"/>
          <w:sz w:val="17"/>
        </w:rPr>
        <w:t xml:space="preserve">  [Programa / formación]</w:t>
      </w:r>
    </w:p>
    <w:p>
      <w:pPr>
        <w:pStyle w:val="ListBullet"/>
      </w:pPr>
      <w:r>
        <w:rPr>
          <w:rFonts w:ascii="Calibri" w:hAnsi="Calibri"/>
          <w:b w:val="0"/>
          <w:i w:val="0"/>
          <w:color w:val="1A2238"/>
          <w:sz w:val="21"/>
        </w:rPr>
        <w:t>Crear programas y convenios de interacción dinámica entre universidades (egresados experimentados, estudiantes y profesores) y gremios empresariales, impulsados por los gobiernos regionales.</w:t>
      </w:r>
      <w:r>
        <w:rPr>
          <w:rFonts w:ascii="Calibri" w:hAnsi="Calibri"/>
          <w:b w:val="0"/>
          <w:i/>
          <w:color w:val="B8840E"/>
          <w:sz w:val="17"/>
        </w:rPr>
        <w:t xml:space="preserve">  [Programa / convenio]</w:t>
      </w:r>
    </w:p>
    <w:p>
      <w:pPr>
        <w:pStyle w:val="ListBullet"/>
      </w:pPr>
      <w:r>
        <w:rPr>
          <w:rFonts w:ascii="Calibri" w:hAnsi="Calibri"/>
          <w:b w:val="0"/>
          <w:i w:val="0"/>
          <w:color w:val="1A2238"/>
          <w:sz w:val="21"/>
        </w:rPr>
        <w:t>Crear incubadoras de empresa en las universidades e institutos tecnológicos estatales.</w:t>
      </w:r>
      <w:r>
        <w:rPr>
          <w:rFonts w:ascii="Calibri" w:hAnsi="Calibri"/>
          <w:b w:val="0"/>
          <w:i/>
          <w:color w:val="B8840E"/>
          <w:sz w:val="17"/>
        </w:rPr>
        <w:t xml:space="preserve">  [Infraestructura / incubadora]</w:t>
      </w:r>
    </w:p>
    <w:p>
      <w:pPr>
        <w:pStyle w:val="ListBullet"/>
      </w:pPr>
      <w:r>
        <w:rPr>
          <w:rFonts w:ascii="Calibri" w:hAnsi="Calibri"/>
          <w:b w:val="0"/>
          <w:i w:val="0"/>
          <w:color w:val="1A2238"/>
          <w:sz w:val="21"/>
        </w:rPr>
        <w:t>Crear programas de profesionalización para empresarios.</w:t>
      </w:r>
      <w:r>
        <w:rPr>
          <w:rFonts w:ascii="Calibri" w:hAnsi="Calibri"/>
          <w:b w:val="0"/>
          <w:i/>
          <w:color w:val="B8840E"/>
          <w:sz w:val="17"/>
        </w:rPr>
        <w:t xml:space="preserve">  [Programa / capacitación]</w:t>
      </w:r>
    </w:p>
    <w:p>
      <w:r>
        <w:rPr>
          <w:rFonts w:ascii="Calibri" w:hAnsi="Calibri"/>
          <w:b/>
          <w:i w:val="0"/>
          <w:color w:val="D91023"/>
          <w:sz w:val="26"/>
        </w:rPr>
        <w:t>Metas 2050</w:t>
      </w:r>
    </w:p>
    <w:p>
      <w:pPr>
        <w:pStyle w:val="ListBullet"/>
      </w:pPr>
      <w:r>
        <w:rPr>
          <w:rFonts w:ascii="Calibri" w:hAnsi="Calibri"/>
          <w:b w:val="0"/>
          <w:i w:val="0"/>
          <w:color w:val="1A2238"/>
          <w:sz w:val="21"/>
        </w:rPr>
        <w:t>Mayor número de MYPE competitivas y exitosas que contribuyan al desarrollo del país (asegurar buen desarrollo y crecimiento de las MYPE).</w:t>
      </w:r>
    </w:p>
    <w:p>
      <w:pPr>
        <w:pStyle w:val="ListBullet"/>
      </w:pPr>
      <w:r>
        <w:rPr>
          <w:rFonts w:ascii="Calibri" w:hAnsi="Calibri"/>
          <w:b w:val="0"/>
          <w:i w:val="0"/>
          <w:color w:val="1A2238"/>
          <w:sz w:val="21"/>
        </w:rPr>
        <w:t>Mayor número de proyectos e investigaciones presentados y aprobados que hayan solucionado los problemas de las MYPE; reducción de los problemas sociales, ambientales y tecnológicos de las MYPE.</w:t>
      </w:r>
    </w:p>
    <w:p>
      <w:pPr>
        <w:pStyle w:val="ListBullet"/>
      </w:pPr>
      <w:r>
        <w:rPr>
          <w:rFonts w:ascii="Calibri" w:hAnsi="Calibri"/>
          <w:b w:val="0"/>
          <w:i w:val="0"/>
          <w:color w:val="1A2238"/>
          <w:sz w:val="21"/>
        </w:rPr>
        <w:t>Mayor porcentaje de MYPE con base tecnológica (facilitar la creación de PYME con base tecnológica y spin-off).</w:t>
      </w:r>
    </w:p>
    <w:p>
      <w:pPr>
        <w:pStyle w:val="ListBullet"/>
      </w:pPr>
      <w:r>
        <w:rPr>
          <w:rFonts w:ascii="Calibri" w:hAnsi="Calibri"/>
          <w:b w:val="0"/>
          <w:i w:val="0"/>
          <w:color w:val="1A2238"/>
          <w:sz w:val="21"/>
        </w:rPr>
        <w:t>Aumentar la formalización de las MYPE (Objetivo Estratégico 7).</w:t>
      </w:r>
    </w:p>
    <w:p>
      <w:pPr>
        <w:pStyle w:val="ListBullet"/>
      </w:pPr>
      <w:r>
        <w:rPr>
          <w:rFonts w:ascii="Calibri" w:hAnsi="Calibri"/>
          <w:b w:val="0"/>
          <w:i w:val="0"/>
          <w:color w:val="1A2238"/>
          <w:sz w:val="21"/>
        </w:rPr>
        <w:t>Aumentar la calidad de servicios y producción en las MYPE (Objetivo Estratégico 8).</w:t>
      </w:r>
    </w:p>
    <w:p>
      <w:pPr>
        <w:pStyle w:val="ListBullet"/>
      </w:pPr>
      <w:r>
        <w:rPr>
          <w:rFonts w:ascii="Calibri" w:hAnsi="Calibri"/>
          <w:b w:val="0"/>
          <w:i w:val="0"/>
          <w:color w:val="1A2238"/>
          <w:sz w:val="21"/>
        </w:rPr>
        <w:t>Lograr MYPE asociadas, productoras y exportadoras de servicios, generadoras de empleo de calidad y mejorar la calidad de vida de la población.</w:t>
      </w:r>
    </w:p>
    <w:p>
      <w:r>
        <w:rPr>
          <w:rFonts w:ascii="Calibri" w:hAnsi="Calibri"/>
          <w:b/>
          <w:i w:val="0"/>
          <w:color w:val="D91023"/>
          <w:sz w:val="26"/>
        </w:rPr>
        <w:t>Acciones e iniciativas</w:t>
      </w:r>
    </w:p>
    <w:p>
      <w:pPr>
        <w:pStyle w:val="ListBullet"/>
      </w:pPr>
      <w:r>
        <w:rPr>
          <w:rFonts w:ascii="Calibri" w:hAnsi="Calibri"/>
          <w:b w:val="0"/>
          <w:i w:val="0"/>
          <w:color w:val="1A2238"/>
          <w:sz w:val="21"/>
        </w:rPr>
        <w:t>Fomentar y proponer programas para facilitar la asociatividad de MYPE con empresas nacionales e internacionales.</w:t>
      </w:r>
    </w:p>
    <w:p>
      <w:pPr>
        <w:pStyle w:val="ListBullet"/>
      </w:pPr>
      <w:r>
        <w:rPr>
          <w:rFonts w:ascii="Calibri" w:hAnsi="Calibri"/>
          <w:b w:val="0"/>
          <w:i w:val="0"/>
          <w:color w:val="1A2238"/>
          <w:sz w:val="21"/>
        </w:rPr>
        <w:t>Promover el desarrollo de diversos clústeres en diferentes regiones del país.</w:t>
      </w:r>
    </w:p>
    <w:p>
      <w:pPr>
        <w:pStyle w:val="ListBullet"/>
      </w:pPr>
      <w:r>
        <w:rPr>
          <w:rFonts w:ascii="Calibri" w:hAnsi="Calibri"/>
          <w:b w:val="0"/>
          <w:i w:val="0"/>
          <w:color w:val="1A2238"/>
          <w:sz w:val="21"/>
        </w:rPr>
        <w:t>Crear y difundir programas de transferencia tecnológica.</w:t>
      </w:r>
    </w:p>
    <w:p>
      <w:pPr>
        <w:pStyle w:val="ListBullet"/>
      </w:pPr>
      <w:r>
        <w:rPr>
          <w:rFonts w:ascii="Calibri" w:hAnsi="Calibri"/>
          <w:b w:val="0"/>
          <w:i w:val="0"/>
          <w:color w:val="1A2238"/>
          <w:sz w:val="21"/>
        </w:rPr>
        <w:t>Fomentar las competencias nacionales e internacionales de productos y servicios innovadores.</w:t>
      </w:r>
    </w:p>
    <w:p>
      <w:pPr>
        <w:pStyle w:val="ListBullet"/>
      </w:pPr>
      <w:r>
        <w:rPr>
          <w:rFonts w:ascii="Calibri" w:hAnsi="Calibri"/>
          <w:b w:val="0"/>
          <w:i w:val="0"/>
          <w:color w:val="1A2238"/>
          <w:sz w:val="21"/>
        </w:rPr>
        <w:t>Proponer políticas más adecuadas para crear un entorno cultural emprendedor, innovador y tecnológico desde la etapa inicial de la formación estudiantil.</w:t>
      </w:r>
    </w:p>
    <w:p>
      <w:pPr>
        <w:pStyle w:val="ListBullet"/>
      </w:pPr>
      <w:r>
        <w:rPr>
          <w:rFonts w:ascii="Calibri" w:hAnsi="Calibri"/>
          <w:b w:val="0"/>
          <w:i w:val="0"/>
          <w:color w:val="1A2238"/>
          <w:sz w:val="21"/>
        </w:rPr>
        <w:t>Proponer la incorporación de talleres de creatividad, innovación y emprendimiento en la currícula de la educación básica.</w:t>
      </w:r>
    </w:p>
    <w:p>
      <w:pPr>
        <w:pStyle w:val="ListBullet"/>
      </w:pPr>
      <w:r>
        <w:rPr>
          <w:rFonts w:ascii="Calibri" w:hAnsi="Calibri"/>
          <w:b w:val="0"/>
          <w:i w:val="0"/>
          <w:color w:val="1A2238"/>
          <w:sz w:val="21"/>
        </w:rPr>
        <w:t>Promover programas para la creación de empresas de base tecnológica.</w:t>
      </w:r>
    </w:p>
    <w:p>
      <w:pPr>
        <w:pStyle w:val="ListBullet"/>
      </w:pPr>
      <w:r>
        <w:rPr>
          <w:rFonts w:ascii="Calibri" w:hAnsi="Calibri"/>
          <w:b w:val="0"/>
          <w:i w:val="0"/>
          <w:color w:val="1A2238"/>
          <w:sz w:val="21"/>
        </w:rPr>
        <w:t>Sensibilización de empresarios para su profesionalización y capacitación.</w:t>
      </w:r>
    </w:p>
    <w:p>
      <w:pPr>
        <w:pStyle w:val="ListBullet"/>
      </w:pPr>
      <w:r>
        <w:rPr>
          <w:rFonts w:ascii="Calibri" w:hAnsi="Calibri"/>
          <w:b w:val="0"/>
          <w:i w:val="0"/>
          <w:color w:val="1A2238"/>
          <w:sz w:val="21"/>
        </w:rPr>
        <w:t>Crear y facilitar el acceso a los Programas de Formación en Planes de negocio para emprendedores visionarios.</w:t>
      </w:r>
    </w:p>
    <w:p>
      <w:pPr>
        <w:pStyle w:val="ListBullet"/>
      </w:pPr>
      <w:r>
        <w:rPr>
          <w:rFonts w:ascii="Calibri" w:hAnsi="Calibri"/>
          <w:b w:val="0"/>
          <w:i w:val="0"/>
          <w:color w:val="1A2238"/>
          <w:sz w:val="21"/>
        </w:rPr>
        <w:t>Fomentar las alianzas entre las MYPE, universidades, institutos tecnológicos, institutos de investigación y entidades de consulta (articulador).</w:t>
      </w:r>
    </w:p>
    <w:p>
      <w:pPr>
        <w:pStyle w:val="ListBullet"/>
      </w:pPr>
      <w:r>
        <w:rPr>
          <w:rFonts w:ascii="Calibri" w:hAnsi="Calibri"/>
          <w:b w:val="0"/>
          <w:i w:val="0"/>
          <w:color w:val="1A2238"/>
          <w:sz w:val="21"/>
        </w:rPr>
        <w:t>Crear y difundir programas para el desarrollo de softwares prácticos, especializados y accesibles para las MYPE.</w:t>
      </w:r>
    </w:p>
    <w:p>
      <w:pPr>
        <w:pStyle w:val="ListBullet"/>
      </w:pPr>
      <w:r>
        <w:rPr>
          <w:rFonts w:ascii="Calibri" w:hAnsi="Calibri"/>
          <w:b w:val="0"/>
          <w:i w:val="0"/>
          <w:color w:val="1A2238"/>
          <w:sz w:val="21"/>
        </w:rPr>
        <w:t>Crear centros de Vigilancia Estratégica para la atención de los gremios de MYPE formalizadas y organismos afines.</w:t>
      </w:r>
    </w:p>
    <w:p>
      <w:pPr>
        <w:pStyle w:val="ListBullet"/>
      </w:pPr>
      <w:r>
        <w:rPr>
          <w:rFonts w:ascii="Calibri" w:hAnsi="Calibri"/>
          <w:b w:val="0"/>
          <w:i w:val="0"/>
          <w:color w:val="1A2238"/>
          <w:sz w:val="21"/>
        </w:rPr>
        <w:t>Promover el interés de formalizarse en las MYPE.</w:t>
      </w:r>
    </w:p>
    <w:p>
      <w:pPr>
        <w:pStyle w:val="ListBullet"/>
      </w:pPr>
      <w:r>
        <w:rPr>
          <w:rFonts w:ascii="Calibri" w:hAnsi="Calibri"/>
          <w:b w:val="0"/>
          <w:i w:val="0"/>
          <w:color w:val="1A2238"/>
          <w:sz w:val="21"/>
        </w:rPr>
        <w:t>Disminuir los obstáculos burocráticos para facilitar la formalización de las MYPE.</w:t>
      </w:r>
    </w:p>
    <w:p>
      <w:pPr>
        <w:pStyle w:val="ListBullet"/>
      </w:pPr>
      <w:r>
        <w:rPr>
          <w:rFonts w:ascii="Calibri" w:hAnsi="Calibri"/>
          <w:b w:val="0"/>
          <w:i w:val="0"/>
          <w:color w:val="1A2238"/>
          <w:sz w:val="21"/>
        </w:rPr>
        <w:t>Proponer programas adecuados a las certificadoras para la certificación internacional de las MYPE.</w:t>
      </w:r>
    </w:p>
    <w:p>
      <w:pPr>
        <w:pStyle w:val="ListBullet"/>
      </w:pPr>
      <w:r>
        <w:rPr>
          <w:rFonts w:ascii="Calibri" w:hAnsi="Calibri"/>
          <w:b w:val="0"/>
          <w:i w:val="0"/>
          <w:color w:val="1A2238"/>
          <w:sz w:val="21"/>
        </w:rPr>
        <w:t>Crear incubadoras de empresa en universidades e institutos tecnológicos estatales.</w:t>
      </w:r>
    </w:p>
    <w:p>
      <w:pPr>
        <w:pStyle w:val="ListBullet"/>
      </w:pPr>
      <w:r>
        <w:rPr>
          <w:rFonts w:ascii="Calibri" w:hAnsi="Calibri"/>
          <w:b w:val="0"/>
          <w:i w:val="0"/>
          <w:color w:val="1A2238"/>
          <w:sz w:val="21"/>
        </w:rPr>
        <w:t>Crear incentivos tributarios a la reinversión en tecnología y capacitación.</w:t>
      </w:r>
    </w:p>
    <w:p>
      <w:r>
        <w:rPr>
          <w:rFonts w:ascii="Calibri" w:hAnsi="Calibri"/>
          <w:b/>
          <w:i w:val="0"/>
          <w:color w:val="D91023"/>
          <w:sz w:val="26"/>
        </w:rPr>
        <w:t>Recomendación de política</w:t>
      </w:r>
    </w:p>
    <w:p>
      <w:r>
        <w:rPr>
          <w:rFonts w:ascii="Calibri" w:hAnsi="Calibri"/>
          <w:b w:val="0"/>
          <w:i w:val="0"/>
          <w:color w:val="1A2238"/>
          <w:sz w:val="21"/>
        </w:rPr>
        <w:t>Realizar de inmediato las acciones estratégicas priorizadas mediante la matriz IGO para dar soporte y sentar las bases del proyecto, centrándose en crear programas de formación en planes de negocio para emprendedores visionarios y fomentar las alianzas entre MYPE, universidades e institutos tecnológicos y de investigación, articulando la asociatividad, la transferencia tecnológica y la formalización con apoyo de municipalidades y gobiernos regionales.</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