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i w:val="0"/>
          <w:color w:val="B8840E"/>
          <w:sz w:val="22"/>
        </w:rPr>
        <w:t>PLAN PERÚ 2050</w:t>
      </w:r>
      <w:r>
        <w:br/>
      </w:r>
      <w:r>
        <w:rPr>
          <w:rFonts w:ascii="Calibri" w:hAnsi="Calibri"/>
          <w:b w:val="0"/>
          <w:i w:val="0"/>
          <w:color w:val="5D6B88"/>
          <w:sz w:val="18"/>
        </w:rPr>
        <w:t>Comisión Temática Nacional · CNPP — Colegio de Ingenieros del Perú</w:t>
      </w:r>
    </w:p>
    <w:p>
      <w:r>
        <w:rPr>
          <w:rFonts w:ascii="Calibri" w:hAnsi="Calibri"/>
          <w:b/>
          <w:i w:val="0"/>
          <w:color w:val="D91023"/>
          <w:sz w:val="48"/>
        </w:rPr>
        <w:t>Salud (Gemelos Digitales)</w:t>
      </w:r>
    </w:p>
    <w:p>
      <w:r>
        <w:rPr>
          <w:rFonts w:ascii="Calibri" w:hAnsi="Calibri"/>
          <w:b w:val="0"/>
          <w:i/>
          <w:color w:val="5D6B88"/>
          <w:sz w:val="21"/>
        </w:rPr>
        <w:t>Eje estratégico: Bienestar y Salud</w:t>
      </w:r>
    </w:p>
    <w:p>
      <w:r>
        <w:rPr>
          <w:rFonts w:ascii="Calibri" w:hAnsi="Calibri"/>
          <w:b w:val="0"/>
          <w:i w:val="0"/>
          <w:color w:val="1A2238"/>
          <w:sz w:val="23"/>
        </w:rPr>
        <w:t>Agenda Nacional para la adopción progresiva de gemelos digitales en el sector salud peruano, con una Fase I centrada en la gestión clínica cardiovascular (arritmias e insuficiencia cardíaca), escalando luego a otras áreas de salud y otros sectores del Estado.</w:t>
      </w:r>
    </w:p>
    <w:p>
      <w:r>
        <w:rPr>
          <w:rFonts w:ascii="Calibri" w:hAnsi="Calibri"/>
          <w:b/>
          <w:i w:val="0"/>
          <w:color w:val="D91023"/>
          <w:sz w:val="26"/>
        </w:rPr>
        <w:t>Síntesis cuantitativa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4F6F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91023"/>
                <w:sz w:val="36"/>
              </w:rPr>
              <w:t>10</w:t>
              <w:br/>
            </w:r>
            <w:r>
              <w:rPr>
                <w:rFonts w:ascii="Calibri" w:hAnsi="Calibri"/>
                <w:b w:val="0"/>
                <w:i w:val="0"/>
                <w:color w:val="5D6B88"/>
                <w:sz w:val="17"/>
              </w:rPr>
              <w:t>Indicadores</w:t>
            </w:r>
          </w:p>
        </w:tc>
        <w:tc>
          <w:tcPr>
            <w:tcW w:type="dxa" w:w="2484"/>
            <w:shd w:fill="F4F6F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91023"/>
                <w:sz w:val="36"/>
              </w:rPr>
              <w:t>7</w:t>
              <w:br/>
            </w:r>
            <w:r>
              <w:rPr>
                <w:rFonts w:ascii="Calibri" w:hAnsi="Calibri"/>
                <w:b w:val="0"/>
                <w:i w:val="0"/>
                <w:color w:val="5D6B88"/>
                <w:sz w:val="17"/>
              </w:rPr>
              <w:t>Pilares</w:t>
            </w:r>
          </w:p>
        </w:tc>
        <w:tc>
          <w:tcPr>
            <w:tcW w:type="dxa" w:w="2484"/>
            <w:shd w:fill="F4F6F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91023"/>
                <w:sz w:val="36"/>
              </w:rPr>
              <w:t>7</w:t>
              <w:br/>
            </w:r>
            <w:r>
              <w:rPr>
                <w:rFonts w:ascii="Calibri" w:hAnsi="Calibri"/>
                <w:b w:val="0"/>
                <w:i w:val="0"/>
                <w:color w:val="5D6B88"/>
                <w:sz w:val="17"/>
              </w:rPr>
              <w:t>Metas 2050</w:t>
            </w:r>
          </w:p>
        </w:tc>
        <w:tc>
          <w:tcPr>
            <w:tcW w:type="dxa" w:w="2484"/>
            <w:shd w:fill="F4F6F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91023"/>
                <w:sz w:val="36"/>
              </w:rPr>
              <w:t>21%</w:t>
              <w:br/>
            </w:r>
            <w:r>
              <w:rPr>
                <w:rFonts w:ascii="Calibri" w:hAnsi="Calibri"/>
                <w:b w:val="0"/>
                <w:i w:val="0"/>
                <w:color w:val="5D6B88"/>
                <w:sz w:val="17"/>
              </w:rPr>
              <w:t>Avance estimado</w:t>
            </w:r>
          </w:p>
        </w:tc>
      </w:tr>
    </w:tbl>
    <w:p>
      <w:r>
        <w:rPr>
          <w:rFonts w:ascii="Calibri" w:hAnsi="Calibri"/>
          <w:b/>
          <w:i w:val="0"/>
          <w:color w:val="D91023"/>
          <w:sz w:val="26"/>
        </w:rPr>
        <w:t>Visión 2050</w:t>
      </w:r>
    </w:p>
    <w:p>
      <w:r>
        <w:rPr>
          <w:rFonts w:ascii="Calibri" w:hAnsi="Calibri"/>
          <w:b w:val="0"/>
          <w:i w:val="0"/>
          <w:color w:val="1A2238"/>
          <w:sz w:val="21"/>
        </w:rPr>
        <w:t>Consolidar al Perú como referente regional en innovación en salud digital, contando en un horizonte de diez años con una Estrategia Nacional de Gemelos Digitales integrada a la modernización del Estado, reconocida internacionalmente como modelo de adopción responsable, inclusiva y basada en evidencia, que reduzca la mortalidad cardiovascular y promueva la equidad en salud.</w:t>
      </w:r>
    </w:p>
    <w:p>
      <w:r>
        <w:rPr>
          <w:rFonts w:ascii="Calibri" w:hAnsi="Calibri"/>
          <w:b/>
          <w:i w:val="0"/>
          <w:color w:val="D91023"/>
          <w:sz w:val="26"/>
        </w:rPr>
        <w:t>Diagnóstico — brecha 2026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Las enfermedades cardiovasculares son la primera causa de mortalidad en el Perú y América Latina (aprox. 30% de todas las muertes en la región, según OPS).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Fibrilación auricular: prevalencia global ~1-2% en adultos (se duplica/triplica en mayores de 65); multiplica por cinco el riesgo de accidente cerebrovascular.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Insuficiencia cardíaca: afecta entre 1% y 2% de adultos en países de ingresos medios, superando el 10% en mayores de 70 años.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Rehospitalización a 30 días por descompensación de insuficiencia cardíaca en América Latina: entre 20% y 30%, reflejando un modelo de atención reactiva.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Diagnóstico tardío y fragmentado: arritmias intermitentes escapan al ECG de reposo; el monitoreo Holter (24-48h) es insuficiente en número y distribución geográfica.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Seguimiento ambulatorio deficiente: ausencia de monitoreo remoto para pacientes con IC dados de alta, generando hospitalizaciones recurrentes evitables.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Inequidad geográfica: concentración de cardiólogos, electrofisiólogos y equipos de diagnóstico avanzado en Lima Metropolitana.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Limitada capacidad predictiva: decisiones clínicas basadas en datos estáticos y evaluaciones periódicas, sin anticipación de crisis agudas.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Subutilización de datos clínicos: la HCE genera grandes volúmenes de datos que no se analizan ni usan en tiempo real.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Madurez variable de los sistemas de historia clínica electrónica en hospitales públicos.</w:t>
      </w:r>
    </w:p>
    <w:p>
      <w:r>
        <w:rPr>
          <w:rFonts w:ascii="Calibri" w:hAnsi="Calibri"/>
          <w:b/>
          <w:i w:val="0"/>
          <w:color w:val="D91023"/>
          <w:sz w:val="26"/>
        </w:rPr>
        <w:t>Indicadores: hoy → meta 2050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Hoy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Meta 2050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Unidad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% avance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Fuente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Reducción de tasa de rehospitalización a 30 días por insuficiencia cardíaca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28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20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71%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Registros hospitalarios / HCE (línea base 28%-31%; meta Fase I: reducción &gt;=20%)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Tiempo promedio al diagnóstico de arritmia compleja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meses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Auditoría clínica (línea base 6 a 24 meses; meta Fase I: reducción &gt;=30%)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Mortalidad hospitalaria por insuficiencia cardíaca en centros piloto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11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Registros de mortalidad MINSA (línea base 11%-13%; meta Fase I: reducción &gt;=15%)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Número de pacientes con gemelo digital activo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500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pacientes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0%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Plataforma GD (meta Fase I: &gt;=500)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Tiempo de actividad de la plataforma (uptime)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99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Monitoreo TI (línea base N/A; meta Fase I: &gt;=99%)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Interoperabilidad FHIR operativa en centros piloto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100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 centros piloto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0%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Auditoría TI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Profesionales de salud formados en gemelos digitales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200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profesionales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0%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Registros de formación (meta Fase I: &gt;=200)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Publicaciones científicas indexadas con datos nacionales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3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artículos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0%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Bases de datos Scopus/PubMed (meta Fase I: &gt;=3)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Porcentaje de beneficiarios en regiones fuera de Lima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65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40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62%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Registros del programa (línea base 65%; meta Fase I: &gt;=40%)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Mercado global de gemelos digitales en salud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2.1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18.4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USD MM (miles de millones)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11%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 xml:space="preserve">DelveInsight 2025 / Mordor Intelligence 2025 (USD 2,1 mil millones en 2024 a USD 18,4 mil 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852160" cy="26673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ce_salu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67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D6B88"/>
          <w:sz w:val="16"/>
        </w:rPr>
        <w:t>Avance estimado de cada indicador hacia su meta 2050.</w:t>
      </w:r>
    </w:p>
    <w:p>
      <w:r>
        <w:rPr>
          <w:rFonts w:ascii="Calibri" w:hAnsi="Calibri"/>
          <w:b/>
          <w:i w:val="0"/>
          <w:color w:val="D91023"/>
          <w:sz w:val="26"/>
        </w:rPr>
        <w:t>Pilares de la estrategia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Marco normativo y de gobernanza: </w:t>
      </w:r>
      <w:r>
        <w:rPr>
          <w:rFonts w:ascii="Calibri" w:hAnsi="Calibri"/>
          <w:b w:val="0"/>
          <w:i w:val="0"/>
          <w:color w:val="1A2238"/>
          <w:sz w:val="21"/>
        </w:rPr>
        <w:t>Política Nacional de Gemelos Digitales en Salud por Decreto Supremo, articulada con la Ley 31814 (IA) y la Ley 29733 (datos personales); Comisión Multisectorial Permanente presidida por el MINSA; guía técnica de uso de datos clínicos; Comité Nacional de Ética para la IA en Salud.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Infraestructura de datos e interoperabilidad: </w:t>
      </w:r>
      <w:r>
        <w:rPr>
          <w:rFonts w:ascii="Calibri" w:hAnsi="Calibri"/>
          <w:b w:val="0"/>
          <w:i w:val="0"/>
          <w:color w:val="1A2238"/>
          <w:sz w:val="21"/>
        </w:rPr>
        <w:t>Adopción del estándar HL7 FHIR para interoperabilidad clínica, integración con la HCE nacional, nube segura con cifrado, ciberseguridad y dispositivos de monitoreo remoto (wearables).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Implementación clínica piloto: </w:t>
      </w:r>
      <w:r>
        <w:rPr>
          <w:rFonts w:ascii="Calibri" w:hAnsi="Calibri"/>
          <w:b w:val="0"/>
          <w:i w:val="0"/>
          <w:color w:val="1A2238"/>
          <w:sz w:val="21"/>
        </w:rPr>
        <w:t>Fase I de gemelos digitales cardiovasculares en 3-5 hospitales de alta complejidad del sistema público, con énfasis en arritmias e insuficiencia cardíaca.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Capacidades nacionales y talento humano: </w:t>
      </w:r>
      <w:r>
        <w:rPr>
          <w:rFonts w:ascii="Calibri" w:hAnsi="Calibri"/>
          <w:b w:val="0"/>
          <w:i w:val="0"/>
          <w:color w:val="1A2238"/>
          <w:sz w:val="21"/>
        </w:rPr>
        <w:t>Formación de cardiólogos, electrofisiólogos, enfermeras especializadas e ingenieros biomédicos; desarrollo de IA aplicada a salud mediante convenios con universidades (UPCH, UNMSM, PUCP, UNI).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Generación de evidencia científica: </w:t>
      </w:r>
      <w:r>
        <w:rPr>
          <w:rFonts w:ascii="Calibri" w:hAnsi="Calibri"/>
          <w:b w:val="0"/>
          <w:i w:val="0"/>
          <w:color w:val="1A2238"/>
          <w:sz w:val="21"/>
        </w:rPr>
        <w:t>Estudios sobre efectividad clínica e impacto en equidad, con diseño cuasi-experimental, publicables en revistas indexadas internacionales (Scopus/PubMed).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Modelo de financiamiento mixto: </w:t>
      </w:r>
      <w:r>
        <w:rPr>
          <w:rFonts w:ascii="Calibri" w:hAnsi="Calibri"/>
          <w:b w:val="0"/>
          <w:i w:val="0"/>
          <w:color w:val="1A2238"/>
          <w:sz w:val="21"/>
        </w:rPr>
        <w:t>Combinación de presupuesto público (PIP vía Invierte.pe), cooperación multilateral (BID, Banco Mundial, OPS/OMS), cooperación bilateral (GIZ, Cooperación Suiza) y alianzas público-privadas (SaaS, pago por uso).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Escalamiento progresivo: </w:t>
      </w:r>
      <w:r>
        <w:rPr>
          <w:rFonts w:ascii="Calibri" w:hAnsi="Calibri"/>
          <w:b w:val="0"/>
          <w:i w:val="0"/>
          <w:color w:val="1A2238"/>
          <w:sz w:val="21"/>
        </w:rPr>
        <w:t>Modelo por fases (NASSS): Fase I cardiovascular (años 1-3), Fase II expansión a oncología, neonatales y gestión hospitalaria (años 4-6), Fase III agenda nacional ampliada y otros sectores del Estado (años 7-10).</w:t>
      </w:r>
    </w:p>
    <w:p>
      <w:r>
        <w:rPr>
          <w:rFonts w:ascii="Calibri" w:hAnsi="Calibri"/>
          <w:b/>
          <w:i w:val="0"/>
          <w:color w:val="D91023"/>
          <w:sz w:val="26"/>
        </w:rPr>
        <w:t>Metas 2050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Aprobar un marco normativo y de gobernanza específico para gemelos digitales en salud, articulado con la Ley 31814 (IA) y la Ley 29733 (datos personales).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Reducir las hospitalizaciones evitables por descompensación cardíaca y la mortalidad por arritmias no diagnosticadas oportunamente.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Desarrollar capacidades nacionales en IA aplicada a salud y formar talento humano especializado.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Establecer infraestructura de datos e interoperabilidad con estándar HL7 FHIR integrada a la HCE nacional.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Generar evidencia científica nacional publicable internacionalmente sobre efectividad clínica e impacto en equidad.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Contar, en un horizonte de diez años, con una Estrategia Nacional de Gemelos Digitales integrada a la modernización del Estado y reconocida internacionalmente.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Posicionar al Perú como referente regional en innovación en salud digital, atrayendo financiamiento e inversión tecnológica.</w:t>
      </w:r>
    </w:p>
    <w:p>
      <w:r>
        <w:rPr>
          <w:rFonts w:ascii="Calibri" w:hAnsi="Calibri"/>
          <w:b/>
          <w:i w:val="0"/>
          <w:color w:val="D91023"/>
          <w:sz w:val="26"/>
        </w:rPr>
        <w:t>Acciones e iniciativas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Constituir una Unidad de Coordinación del Proyecto (gerente, líder técnico en IA/GD, responsable regulatorio y coordinador de formación).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Diagnosticar la infraestructura tecnológica de los centros piloto (HCE, conectividad, almacenamiento y seguridad de datos).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Diseñar e implementar la arquitectura de interoperabilidad basada en HL7 FHIR.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Adquirir o desarrollar la plataforma de gemelos digitales cardiovasculares mediante licitación pública o convenio con empresa tecnológica calificada.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Implementar un programa intensivo de formación de talento humano clínico y biomédico.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Implementar clínicamente de forma progresiva, iniciando con insuficiencia cardíaca avanzada y arritmias complejas.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Generar y publicar evidencia en revistas científicas indexadas y preparar el informe para la Fase II.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Formular un Proyecto de Inversión Pública (PIP) bajo Invierte.pe e iniciar conversaciones con BID, Banco Mundial y OPS/OMS.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Realizar evaluaciones (interna trimestral, externa al año 2 y de impacto cuasi-experimental al cierre de la Fase I) y publicar un Informe de Progreso anual.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Incorporar auditorías de equidad algorítmica como requisito de operación del sistema.</w:t>
      </w:r>
    </w:p>
    <w:p>
      <w:r>
        <w:rPr>
          <w:rFonts w:ascii="Calibri" w:hAnsi="Calibri"/>
          <w:b/>
          <w:i w:val="0"/>
          <w:color w:val="D91023"/>
          <w:sz w:val="26"/>
        </w:rPr>
        <w:t>Recomendación de política</w:t>
      </w:r>
    </w:p>
    <w:p>
      <w:r>
        <w:rPr>
          <w:rFonts w:ascii="Calibri" w:hAnsi="Calibri"/>
          <w:b w:val="0"/>
          <w:i w:val="0"/>
          <w:color w:val="1A2238"/>
          <w:sz w:val="21"/>
        </w:rPr>
        <w:t>Aprobar mediante Decreto Supremo una Política Nacional de Gemelos Digitales en Salud (articulada con la Ley 31814 de IA y la Ley 29733 de Protección de Datos), creando una Comisión Multisectorial Permanente presidida por el MINSA y un Comité Nacional de Ética para la IA en Salud, con adopción del estándar HL7 FHIR y financiamiento mixto (público, cooperación multilateral y APP), iniciando con una Fase I piloto en salud cardiovascular.</w:t>
      </w:r>
    </w:p>
    <w:p/>
    <w:p>
      <w:r>
        <w:rPr>
          <w:rFonts w:ascii="Calibri" w:hAnsi="Calibri"/>
          <w:b w:val="0"/>
          <w:i/>
          <w:color w:val="5D6B88"/>
          <w:sz w:val="15"/>
        </w:rPr>
        <w:t>Documento potenciado a partir de la redacción de la comisión. Las cifras provienen del documento fuente y están sujetas a validación oficial. La silueta territorial es referencial.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