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B8840E"/>
          <w:sz w:val="20"/>
        </w:rPr>
        <w:t>PLAN PERÚ 2050  ·  PRIMER INFORME</w:t>
      </w:r>
    </w:p>
    <w:p>
      <w:pPr>
        <w:spacing w:after="40" w:before="0"/>
      </w:pPr>
      <w:r>
        <w:rPr>
          <w:b/>
          <w:i w:val="0"/>
          <w:color w:val="D91023"/>
          <w:sz w:val="46"/>
        </w:rPr>
        <w:t>Primer Informe de avance de la plataforma digital</w:t>
      </w:r>
    </w:p>
    <w:p>
      <w:pPr>
        <w:spacing w:after="360" w:before="0"/>
      </w:pPr>
      <w:r>
        <w:rPr>
          <w:b w:val="0"/>
          <w:i w:val="0"/>
          <w:color w:val="5D6B88"/>
          <w:sz w:val="24"/>
        </w:rPr>
        <w:t>Comisiones Temáticas Nacionales · CNPP — Colegio de Ingenieros del Perú</w:t>
      </w:r>
    </w:p>
    <w:p>
      <w:pPr>
        <w:spacing w:after="20" w:before="0"/>
      </w:pPr>
      <w:r>
        <w:rPr>
          <w:b/>
          <w:i w:val="0"/>
          <w:color w:val="1A2238"/>
          <w:sz w:val="22"/>
        </w:rPr>
        <w:t>Informe N°: 1 (de 3)</w:t>
      </w:r>
    </w:p>
    <w:p>
      <w:pPr>
        <w:spacing w:after="20" w:before="0"/>
      </w:pPr>
      <w:r>
        <w:rPr>
          <w:b/>
          <w:i w:val="0"/>
          <w:color w:val="1A2238"/>
          <w:sz w:val="22"/>
        </w:rPr>
        <w:t>Fecha: 21 de julio de 2026</w:t>
      </w:r>
    </w:p>
    <w:p>
      <w:pPr>
        <w:spacing w:after="20" w:before="0"/>
      </w:pPr>
      <w:r>
        <w:rPr>
          <w:b w:val="0"/>
          <w:i w:val="0"/>
          <w:color w:val="1A2238"/>
          <w:sz w:val="22"/>
        </w:rPr>
        <w:t>Elaborado por: Ing. Carlos Cárdenas Fernández</w:t>
      </w:r>
    </w:p>
    <w:p>
      <w:pPr>
        <w:spacing w:after="20" w:before="0"/>
      </w:pPr>
      <w:r>
        <w:rPr>
          <w:b w:val="0"/>
          <w:i w:val="0"/>
          <w:color w:val="1A2238"/>
          <w:sz w:val="22"/>
        </w:rPr>
        <w:t>Revisor principal: Ing. Alejandro Camarena</w:t>
      </w:r>
    </w:p>
    <w:p>
      <w:pPr>
        <w:spacing w:after="20" w:before="0"/>
      </w:pPr>
      <w:r>
        <w:rPr>
          <w:b w:val="0"/>
          <w:i w:val="0"/>
          <w:color w:val="1A2238"/>
          <w:sz w:val="22"/>
        </w:rPr>
        <w:t>Dirigido a: Ing. Tellys Paucar y equipo técnico del Plan Perú 2050 — CNPP / Colegio de Ingenieros del Perú</w:t>
      </w:r>
    </w:p>
    <w:p>
      <w:pPr>
        <w:spacing w:after="320" w:before="0"/>
      </w:pPr>
      <w:r>
        <w:rPr>
          <w:b w:val="0"/>
          <w:i w:val="0"/>
          <w:color w:val="B8840E"/>
          <w:sz w:val="22"/>
        </w:rPr>
        <w:t>Plataforma en línea: https://planperu2050.pe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Índice</w:t>
      </w:r>
    </w:p>
    <w:p>
      <w:pPr>
        <w:spacing w:after="120"/>
        <w:pBdr>
          <w:bottom w:val="single" w:sz="6" w:space="1" w:color="B8840E"/>
        </w:pBdr>
      </w:pPr>
    </w:p>
    <w:p>
      <w:pPr>
        <w:pStyle w:val="ListBullet"/>
        <w:spacing w:after="60"/>
      </w:pPr>
      <w:r>
        <w:rPr>
          <w:color w:val="1A2238"/>
          <w:sz w:val="22"/>
        </w:rPr>
        <w:t>1. Resumen ejecutivo</w:t>
      </w:r>
    </w:p>
    <w:p>
      <w:pPr>
        <w:pStyle w:val="ListBullet"/>
        <w:spacing w:after="60"/>
      </w:pPr>
      <w:r>
        <w:rPr>
          <w:color w:val="1A2238"/>
          <w:sz w:val="22"/>
        </w:rPr>
        <w:t>2. La plataforma y sus módulos</w:t>
      </w:r>
    </w:p>
    <w:p>
      <w:pPr>
        <w:pStyle w:val="ListBullet"/>
        <w:spacing w:after="60"/>
      </w:pPr>
      <w:r>
        <w:rPr>
          <w:color w:val="1A2238"/>
          <w:sz w:val="22"/>
        </w:rPr>
        <w:t>3. Articulación estratégica (hacia arriba y hacia abajo)</w:t>
      </w:r>
    </w:p>
    <w:p>
      <w:pPr>
        <w:pStyle w:val="ListBullet"/>
        <w:spacing w:after="60"/>
      </w:pPr>
      <w:r>
        <w:rPr>
          <w:color w:val="1A2238"/>
          <w:sz w:val="22"/>
        </w:rPr>
        <w:t>4. Articulación con el plan de gobierno entrante</w:t>
      </w:r>
    </w:p>
    <w:p>
      <w:pPr>
        <w:pStyle w:val="ListBullet"/>
        <w:spacing w:after="60"/>
      </w:pPr>
      <w:r>
        <w:rPr>
          <w:color w:val="1A2238"/>
          <w:sz w:val="22"/>
        </w:rPr>
        <w:t>5. Inteligencia territorial</w:t>
      </w:r>
    </w:p>
    <w:p>
      <w:pPr>
        <w:pStyle w:val="ListBullet"/>
        <w:spacing w:after="60"/>
      </w:pPr>
      <w:r>
        <w:rPr>
          <w:color w:val="1A2238"/>
          <w:sz w:val="22"/>
        </w:rPr>
        <w:t>6. Seguimiento mensual de indicadores</w:t>
      </w:r>
    </w:p>
    <w:p>
      <w:pPr>
        <w:pStyle w:val="ListBullet"/>
        <w:spacing w:after="60"/>
      </w:pPr>
      <w:r>
        <w:rPr>
          <w:color w:val="1A2238"/>
          <w:sz w:val="22"/>
        </w:rPr>
        <w:t>7. Estado de las observaciones de la última reunión</w:t>
      </w:r>
    </w:p>
    <w:p>
      <w:pPr>
        <w:pStyle w:val="ListBullet"/>
        <w:spacing w:after="60"/>
      </w:pPr>
      <w:r>
        <w:rPr>
          <w:color w:val="1A2238"/>
          <w:sz w:val="22"/>
        </w:rPr>
        <w:t>8. Fuentes de datos y principio anti-sobreafirmación</w:t>
      </w:r>
    </w:p>
    <w:p>
      <w:pPr>
        <w:pStyle w:val="ListBullet"/>
        <w:spacing w:after="60"/>
      </w:pPr>
      <w:r>
        <w:rPr>
          <w:color w:val="1A2238"/>
          <w:sz w:val="22"/>
        </w:rPr>
        <w:t>9. Cómo revisar y validar</w:t>
      </w:r>
    </w:p>
    <w:p>
      <w:pPr>
        <w:pStyle w:val="ListBullet"/>
        <w:spacing w:after="60"/>
      </w:pPr>
      <w:r>
        <w:rPr>
          <w:color w:val="1A2238"/>
          <w:sz w:val="22"/>
        </w:rPr>
        <w:t>10. Próximos pasos</w:t>
      </w:r>
    </w:p>
    <w:p>
      <w:pPr>
        <w:pStyle w:val="ListBullet"/>
        <w:spacing w:after="60"/>
      </w:pPr>
      <w:r>
        <w:rPr>
          <w:color w:val="1A2238"/>
          <w:sz w:val="22"/>
        </w:rPr>
        <w:t>Anexo. Enlaces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1. Resumen ejecutivo</w:t>
      </w:r>
    </w:p>
    <w:p>
      <w:pPr>
        <w:spacing w:after="120"/>
        <w:pBdr>
          <w:bottom w:val="single" w:sz="6" w:space="1" w:color="B8840E"/>
        </w:pBdr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Se ha construido y puesto en producción una plataforma web interactiva del Plan Perú 2050 (https://planperu2050.pe) que sistematiza las 65 Comisiones Temáticas Nacionales, las articula con el Acuerdo Nacional y con los Programas Presupuestales del MEF, incorpora el plan de gobierno entrante, una capa de inteligencia territorial y un sistema de seguimiento mensual de indicadores hacia las metas 2050. Todo el contenido está etiquetado según su origen (redacción oficial, propuesta con IA a validar, o dato estadístico oficial), bajo un principio estricto de no sobre-afirmación.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252"/>
            <w:shd w:val="clear" w:fill="1F2A44"/>
          </w:tcPr>
          <w:p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5386"/>
            <w:shd w:val="clear" w:fill="1F2A44"/>
          </w:tcPr>
          <w:p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4252"/>
          </w:tcPr>
          <w:p>
            <w:r/>
            <w:r>
              <w:rPr>
                <w:color w:val="1A2238"/>
                <w:sz w:val="19"/>
              </w:rPr>
              <w:t>Comisiones en la plataforma</w:t>
            </w:r>
          </w:p>
        </w:tc>
        <w:tc>
          <w:tcPr>
            <w:tcW w:type="dxa" w:w="5386"/>
          </w:tcPr>
          <w:p>
            <w:r/>
            <w:r>
              <w:rPr>
                <w:color w:val="1A2238"/>
                <w:sz w:val="19"/>
              </w:rPr>
              <w:t>64 (de 65): 19 validadas + 45 en revisión</w:t>
            </w:r>
          </w:p>
        </w:tc>
      </w:tr>
      <w:tr>
        <w:tc>
          <w:tcPr>
            <w:tcW w:type="dxa" w:w="4252"/>
          </w:tcPr>
          <w:p>
            <w:r/>
            <w:r>
              <w:rPr>
                <w:color w:val="1A2238"/>
                <w:sz w:val="19"/>
              </w:rPr>
              <w:t>Clasificación</w:t>
            </w:r>
          </w:p>
        </w:tc>
        <w:tc>
          <w:tcPr>
            <w:tcW w:type="dxa" w:w="5386"/>
          </w:tcPr>
          <w:p>
            <w:r/>
            <w:r>
              <w:rPr>
                <w:color w:val="1A2238"/>
                <w:sz w:val="19"/>
              </w:rPr>
              <w:t>Los 4 ejes / 36 políticas del Acuerdo Nacional</w:t>
            </w:r>
          </w:p>
        </w:tc>
      </w:tr>
      <w:tr>
        <w:tc>
          <w:tcPr>
            <w:tcW w:type="dxa" w:w="4252"/>
          </w:tcPr>
          <w:p>
            <w:r/>
            <w:r>
              <w:rPr>
                <w:color w:val="1A2238"/>
                <w:sz w:val="19"/>
              </w:rPr>
              <w:t>Articulación al Acuerdo Nacional</w:t>
            </w:r>
          </w:p>
        </w:tc>
        <w:tc>
          <w:tcPr>
            <w:tcW w:type="dxa" w:w="5386"/>
          </w:tcPr>
          <w:p>
            <w:r/>
            <w:r>
              <w:rPr>
                <w:color w:val="1A2238"/>
                <w:sz w:val="19"/>
              </w:rPr>
              <w:t>190 enlaces (política ↔ comisión)</w:t>
            </w:r>
          </w:p>
        </w:tc>
      </w:tr>
      <w:tr>
        <w:tc>
          <w:tcPr>
            <w:tcW w:type="dxa" w:w="4252"/>
          </w:tcPr>
          <w:p>
            <w:r/>
            <w:r>
              <w:rPr>
                <w:color w:val="1A2238"/>
                <w:sz w:val="19"/>
              </w:rPr>
              <w:t>Articulación a Programas Presupuestales</w:t>
            </w:r>
          </w:p>
        </w:tc>
        <w:tc>
          <w:tcPr>
            <w:tcW w:type="dxa" w:w="5386"/>
          </w:tcPr>
          <w:p>
            <w:r/>
            <w:r>
              <w:rPr>
                <w:color w:val="1A2238"/>
                <w:sz w:val="19"/>
              </w:rPr>
              <w:t>160 enlaces (91 PP del MEF)</w:t>
            </w:r>
          </w:p>
        </w:tc>
      </w:tr>
      <w:tr>
        <w:tc>
          <w:tcPr>
            <w:tcW w:type="dxa" w:w="4252"/>
          </w:tcPr>
          <w:p>
            <w:r/>
            <w:r>
              <w:rPr>
                <w:color w:val="1A2238"/>
                <w:sz w:val="19"/>
              </w:rPr>
              <w:t>Plan de gobierno articulado</w:t>
            </w:r>
          </w:p>
        </w:tc>
        <w:tc>
          <w:tcPr>
            <w:tcW w:type="dxa" w:w="5386"/>
          </w:tcPr>
          <w:p>
            <w:r/>
            <w:r>
              <w:rPr>
                <w:color w:val="1A2238"/>
                <w:sz w:val="19"/>
              </w:rPr>
              <w:t>56 propuestas alineadas a comisiones y AN</w:t>
            </w:r>
          </w:p>
        </w:tc>
      </w:tr>
      <w:tr>
        <w:tc>
          <w:tcPr>
            <w:tcW w:type="dxa" w:w="4252"/>
          </w:tcPr>
          <w:p>
            <w:r/>
            <w:r>
              <w:rPr>
                <w:color w:val="1A2238"/>
                <w:sz w:val="19"/>
              </w:rPr>
              <w:t>Seguimiento de indicadores</w:t>
            </w:r>
          </w:p>
        </w:tc>
        <w:tc>
          <w:tcPr>
            <w:tcW w:type="dxa" w:w="5386"/>
          </w:tcPr>
          <w:p>
            <w:r/>
            <w:r>
              <w:rPr>
                <w:color w:val="1A2238"/>
                <w:sz w:val="19"/>
              </w:rPr>
              <w:t>53 indicadores hacia meta 2050 (6 con dato oficial automático)</w:t>
            </w:r>
          </w:p>
        </w:tc>
      </w:tr>
    </w:tbl>
    <w:p>
      <w:pPr>
        <w:spacing w:after="80"/>
      </w:pPr>
    </w:p>
    <w:p>
      <w:pPr>
        <w:spacing w:after="80" w:before="280"/>
      </w:pPr>
      <w:r>
        <w:rPr>
          <w:b/>
          <w:i w:val="0"/>
          <w:color w:val="D91023"/>
          <w:sz w:val="30"/>
        </w:rPr>
        <w:t>2. La plataforma y sus módulos</w:t>
      </w:r>
    </w:p>
    <w:p>
      <w:pPr>
        <w:spacing w:after="120"/>
        <w:pBdr>
          <w:bottom w:val="single" w:sz="6" w:space="1" w:color="B8840E"/>
        </w:pBdr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El tablero es una aplicación web pública, responsiva y de actualización automática. Sus módulos:</w:t>
      </w:r>
    </w:p>
    <w:p>
      <w:pPr>
        <w:pStyle w:val="ListBullet"/>
        <w:spacing w:after="60"/>
      </w:pPr>
      <w:r>
        <w:rPr>
          <w:b/>
          <w:color w:val="1A2238"/>
        </w:rPr>
        <w:t xml:space="preserve">Explorar. </w:t>
      </w:r>
      <w:r>
        <w:rPr>
          <w:color w:val="1A2238"/>
          <w:sz w:val="22"/>
        </w:rPr>
        <w:t>Ficha de cada comisión con visión 2050, diagnóstico, objetivos, acciones, indicadores (hoy → meta 2050) y recomendaciones, en el formato oficial de Informe Ejecutivo.</w:t>
      </w:r>
    </w:p>
    <w:p>
      <w:pPr>
        <w:pStyle w:val="ListBullet"/>
        <w:spacing w:after="60"/>
      </w:pPr>
      <w:r>
        <w:rPr>
          <w:b/>
          <w:color w:val="1A2238"/>
        </w:rPr>
        <w:t xml:space="preserve">Articulación. </w:t>
      </w:r>
      <w:r>
        <w:rPr>
          <w:color w:val="1A2238"/>
          <w:sz w:val="22"/>
        </w:rPr>
        <w:t>Cubo de doble entrada que muestra, por cada eje y política del Acuerdo Nacional, las comisiones vinculadas y el tipo de relación.</w:t>
      </w:r>
    </w:p>
    <w:p>
      <w:pPr>
        <w:pStyle w:val="ListBullet"/>
        <w:spacing w:after="60"/>
      </w:pPr>
      <w:r>
        <w:rPr>
          <w:b/>
          <w:color w:val="1A2238"/>
        </w:rPr>
        <w:t xml:space="preserve">Flujos. </w:t>
      </w:r>
      <w:r>
        <w:rPr>
          <w:color w:val="1A2238"/>
          <w:sz w:val="22"/>
        </w:rPr>
        <w:t>Diagrama Sankey por capas: Políticas de Estado → Comisiones → Programas Presupuestales.</w:t>
      </w:r>
    </w:p>
    <w:p>
      <w:pPr>
        <w:pStyle w:val="ListBullet"/>
        <w:spacing w:after="60"/>
      </w:pPr>
      <w:r>
        <w:rPr>
          <w:b/>
          <w:color w:val="1A2238"/>
        </w:rPr>
        <w:t xml:space="preserve">Plan de gobierno. </w:t>
      </w:r>
      <w:r>
        <w:rPr>
          <w:color w:val="1A2238"/>
          <w:sz w:val="22"/>
        </w:rPr>
        <w:t>Propuestas del plan de gobierno entrante alineadas a las comisiones del CIP y al Acuerdo Nacional.</w:t>
      </w:r>
    </w:p>
    <w:p>
      <w:pPr>
        <w:pStyle w:val="ListBullet"/>
        <w:spacing w:after="60"/>
      </w:pPr>
      <w:r>
        <w:rPr>
          <w:b/>
          <w:color w:val="1A2238"/>
        </w:rPr>
        <w:t xml:space="preserve">Territorial. </w:t>
      </w:r>
      <w:r>
        <w:rPr>
          <w:color w:val="1A2238"/>
          <w:sz w:val="22"/>
        </w:rPr>
        <w:t>Indicadores por departamento, provincia y distrito (IDH, pobreza, vulnerabilidad, VAB) y el gasto público del MEF.</w:t>
      </w:r>
    </w:p>
    <w:p>
      <w:pPr>
        <w:pStyle w:val="ListBullet"/>
        <w:spacing w:after="60"/>
      </w:pPr>
      <w:r>
        <w:rPr>
          <w:b/>
          <w:color w:val="1A2238"/>
        </w:rPr>
        <w:t xml:space="preserve">Seguimiento. </w:t>
      </w:r>
      <w:r>
        <w:rPr>
          <w:color w:val="1A2238"/>
          <w:sz w:val="22"/>
        </w:rPr>
        <w:t>Avance mensual de los indicadores hacia las metas 2050, con dato oficial automático donde existe.</w:t>
      </w:r>
    </w:p>
    <w:p>
      <w:pPr>
        <w:pStyle w:val="ListBullet"/>
        <w:spacing w:after="60"/>
      </w:pPr>
      <w:r>
        <w:rPr>
          <w:b/>
          <w:color w:val="1A2238"/>
        </w:rPr>
        <w:t xml:space="preserve">Simulación. </w:t>
      </w:r>
      <w:r>
        <w:rPr>
          <w:color w:val="1A2238"/>
          <w:sz w:val="22"/>
        </w:rPr>
        <w:t>Proyección interactiva de escenarios al 2050.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367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_explor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67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D6B88"/>
          <w:sz w:val="18"/>
        </w:rPr>
        <w:t>Vista principal (Explorar): las comisiones temáticas, con filtros por eje del Acuerdo Nacional y estado de validación.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3. Articulación estratégica (hacia arriba y hacia abajo)</w:t>
      </w:r>
    </w:p>
    <w:p>
      <w:pPr>
        <w:spacing w:after="120"/>
        <w:pBdr>
          <w:bottom w:val="single" w:sz="6" w:space="1" w:color="B8840E"/>
        </w:pBdr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Cada comisión se articula en dos direcciones, con la metodología de clasificación acordada. Cada vínculo lleva una justificación textual, de modo que la matriz es completamente auditable.</w:t>
      </w:r>
    </w:p>
    <w:p>
      <w:pPr>
        <w:spacing w:after="60" w:before="160"/>
      </w:pPr>
      <w:r>
        <w:rPr>
          <w:b/>
          <w:i w:val="0"/>
          <w:color w:val="B8840E"/>
          <w:sz w:val="24"/>
        </w:rPr>
        <w:t>Tipos de relación</w:t>
      </w:r>
    </w:p>
    <w:p>
      <w:pPr>
        <w:pStyle w:val="ListBullet"/>
        <w:spacing w:after="60"/>
      </w:pPr>
      <w:r>
        <w:rPr>
          <w:b/>
          <w:color w:val="1A2238"/>
        </w:rPr>
        <w:t xml:space="preserve">Igual / similar. </w:t>
      </w:r>
      <w:r>
        <w:rPr>
          <w:color w:val="1A2238"/>
          <w:sz w:val="22"/>
        </w:rPr>
        <w:t>igualdad o similitud semántica directa.</w:t>
      </w:r>
    </w:p>
    <w:p>
      <w:pPr>
        <w:pStyle w:val="ListBullet"/>
        <w:spacing w:after="60"/>
      </w:pPr>
      <w:r>
        <w:rPr>
          <w:b/>
          <w:color w:val="1A2238"/>
        </w:rPr>
        <w:t xml:space="preserve">Desagregado. </w:t>
      </w:r>
      <w:r>
        <w:rPr>
          <w:color w:val="1A2238"/>
          <w:sz w:val="22"/>
        </w:rPr>
        <w:t>la comisión especifica (temática o territorialmente) algo contenido en la política o el programa.</w:t>
      </w:r>
    </w:p>
    <w:p>
      <w:pPr>
        <w:pStyle w:val="ListBullet"/>
        <w:spacing w:after="60"/>
      </w:pPr>
      <w:r>
        <w:rPr>
          <w:b/>
          <w:color w:val="1A2238"/>
        </w:rPr>
        <w:t xml:space="preserve">Causal. </w:t>
      </w:r>
      <w:r>
        <w:rPr>
          <w:color w:val="1A2238"/>
          <w:sz w:val="22"/>
        </w:rPr>
        <w:t>relación causa-efecto deducida de los textos.</w:t>
      </w:r>
    </w:p>
    <w:p>
      <w:pPr>
        <w:spacing w:after="60" w:before="160"/>
      </w:pPr>
      <w:r>
        <w:rPr>
          <w:b/>
          <w:i w:val="0"/>
          <w:color w:val="B8840E"/>
          <w:sz w:val="24"/>
        </w:rPr>
        <w:t>Alcance actual</w:t>
      </w:r>
    </w:p>
    <w:p>
      <w:pPr>
        <w:pStyle w:val="ListBullet"/>
        <w:spacing w:after="60"/>
      </w:pPr>
      <w:r>
        <w:rPr>
          <w:color w:val="1A2238"/>
          <w:sz w:val="22"/>
        </w:rPr>
        <w:t>190 enlaces Comisiones ↔ Políticas de Estado del Acuerdo Nacional (hacia arriba).</w:t>
      </w:r>
    </w:p>
    <w:p>
      <w:pPr>
        <w:pStyle w:val="ListBullet"/>
        <w:spacing w:after="60"/>
      </w:pPr>
      <w:r>
        <w:rPr>
          <w:color w:val="1A2238"/>
          <w:sz w:val="22"/>
        </w:rPr>
        <w:t>551 enlaces Comisiones ↔ Objetivos específicos del Acuerdo Nacional (tercer nivel de la jerarquía).</w:t>
      </w:r>
    </w:p>
    <w:p>
      <w:pPr>
        <w:pStyle w:val="ListBullet"/>
        <w:spacing w:after="60"/>
      </w:pPr>
      <w:r>
        <w:rPr>
          <w:color w:val="1A2238"/>
          <w:sz w:val="22"/>
        </w:rPr>
        <w:t>160 enlaces Comisiones ↔ Programas Presupuestales del MEF (hacia abajo, 91 PP).</w:t>
      </w:r>
    </w:p>
    <w:p>
      <w:pPr>
        <w:spacing w:after="120" w:before="0"/>
      </w:pPr>
      <w:r>
        <w:rPr>
          <w:b w:val="0"/>
          <w:i w:val="0"/>
          <w:color w:val="1A2238"/>
          <w:sz w:val="22"/>
        </w:rPr>
        <w:t>La jerarquía del Acuerdo Nacional se incorporó en sus tres niveles: 4 ejes, 36 Políticas de Estado y 310 objetivos (los compromisos con letra a, b, c…, tomados de acuerdonacional.pe). La articulación de cada comisión llega ahora hasta el objetivo específico, el nivel más fino y el ideal para el análisis.</w:t>
      </w:r>
    </w:p>
    <w:p>
      <w:pPr>
        <w:spacing w:after="120" w:before="0"/>
      </w:pPr>
      <w:r>
        <w:rPr>
          <w:b w:val="0"/>
          <w:i/>
          <w:color w:val="5D6B88"/>
          <w:sz w:val="20"/>
        </w:rPr>
        <w:t>La propuesta de articulación fue generada con inteligencia artificial (un análisis por comisión) y se entrega como PROPUESTA A VALIDAR por el equipo técnico. Se adjunta la matriz completa en Excel para su revisión punto por punto.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3676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_articulac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67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D6B88"/>
          <w:sz w:val="18"/>
        </w:rPr>
        <w:t>Módulo Articulación: por cada eje y política del Acuerdo Nacional se listan las comisiones vinculadas y el tipo de relación.</w:t>
      </w:r>
    </w:p>
    <w:p>
      <w:pPr>
        <w:spacing w:after="120" w:before="0"/>
      </w:pPr>
      <w:r>
        <w:rPr>
          <w:b w:val="0"/>
          <w:i w:val="0"/>
          <w:color w:val="1A2238"/>
          <w:sz w:val="22"/>
        </w:rPr>
        <w:t>Adicionalmente, el módulo Flujos representa esta articulación como un diagrama de flujos (Sankey) por capas, que permite visualizar cómo las Políticas de Estado se conectan con las comisiones y estas con los Programas Presupuestales. El grosor de cada flujo refleja el número de vínculos.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3676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_fluj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67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D6B88"/>
          <w:sz w:val="18"/>
        </w:rPr>
        <w:t>Módulo Flujos: diagrama Sankey por capas — Políticas de Estado → Comisiones del CIP → Programas Presupuestales.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4. Articulación con el plan de gobierno entrante</w:t>
      </w:r>
    </w:p>
    <w:p>
      <w:pPr>
        <w:spacing w:after="120"/>
        <w:pBdr>
          <w:bottom w:val="single" w:sz="6" w:space="1" w:color="B8840E"/>
        </w:pBdr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Se procesaron los 3 pilares del plan de gobierno (Orden, Económico, Social) y se alinearon 56 propuestas a las comisiones del CIP y a las políticas del Acuerdo Nacional, con el mismo criterio de relación. Esto permite mostrar de forma objetiva cómo el plan de gobierno se articula con la agenda técnica del Colegio, y sirve de base para un seguimiento posterior con dato duro.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5. Inteligencia territorial</w:t>
      </w:r>
    </w:p>
    <w:p>
      <w:pPr>
        <w:spacing w:after="120"/>
        <w:pBdr>
          <w:bottom w:val="single" w:sz="6" w:space="1" w:color="B8840E"/>
        </w:pBdr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Módulo con un mapa interactivo del Perú y datos reales por departamento, provincia y distrito:</w:t>
      </w:r>
    </w:p>
    <w:p>
      <w:pPr>
        <w:pStyle w:val="ListBullet"/>
        <w:spacing w:after="60"/>
      </w:pPr>
      <w:r>
        <w:rPr>
          <w:color w:val="1A2238"/>
          <w:sz w:val="22"/>
        </w:rPr>
        <w:t>Mapa interactivo por distrito (1,826 distritos), coloreado por IDH, pobreza o pobreza extrema; y por departamento según VAB per cápita, vulnerabilidad, ejecución del gasto o porcentaje de inversión. Detalle al hacer clic en cada distrito.</w:t>
      </w:r>
    </w:p>
    <w:p>
      <w:pPr>
        <w:pStyle w:val="ListBullet"/>
        <w:spacing w:after="60"/>
      </w:pPr>
      <w:r>
        <w:rPr>
          <w:color w:val="1A2238"/>
          <w:sz w:val="22"/>
        </w:rPr>
        <w:t>IDH, pobreza y pobreza extrema por distrito, y población (fuente PNUD / INEI).</w:t>
      </w:r>
    </w:p>
    <w:p>
      <w:pPr>
        <w:pStyle w:val="ListBullet"/>
        <w:spacing w:after="60"/>
      </w:pPr>
      <w:r>
        <w:rPr>
          <w:color w:val="1A2238"/>
          <w:sz w:val="22"/>
        </w:rPr>
        <w:t>Gasto público del MEF (SIAF) por departamento: presupuesto, devengado y ejecución del año en curso.</w:t>
      </w:r>
    </w:p>
    <w:p>
      <w:pPr>
        <w:pStyle w:val="ListBullet"/>
        <w:spacing w:after="60"/>
      </w:pPr>
      <w:r>
        <w:rPr>
          <w:color w:val="1A2238"/>
          <w:sz w:val="22"/>
        </w:rPr>
        <w:t>Presupuesto por tipo de gasto: corriente vs. inversión/capital, por departamento (MEF, año en curso).</w:t>
      </w:r>
    </w:p>
    <w:p>
      <w:pPr>
        <w:pStyle w:val="ListBullet"/>
        <w:spacing w:after="60"/>
      </w:pPr>
      <w:r>
        <w:rPr>
          <w:color w:val="1A2238"/>
          <w:sz w:val="22"/>
        </w:rPr>
        <w:t>Valor Agregado Bruto (VAB) por departamento y VAB per cápita (INEI 2023), como aproximación al desarrollo productivo.</w:t>
      </w:r>
    </w:p>
    <w:p>
      <w:pPr>
        <w:pStyle w:val="ListBullet"/>
        <w:spacing w:after="60"/>
      </w:pPr>
      <w:r>
        <w:rPr>
          <w:color w:val="1A2238"/>
          <w:sz w:val="22"/>
        </w:rPr>
        <w:t>Vulnerabilidad económica a la pobreza (INEI): 31.4% nacional (2023); a nivel departamental por grupos (2019).</w:t>
      </w:r>
    </w:p>
    <w:p>
      <w:pPr>
        <w:spacing w:after="120" w:before="0"/>
      </w:pPr>
      <w:r>
        <w:rPr>
          <w:b w:val="0"/>
          <w:i/>
          <w:color w:val="5D6B88"/>
          <w:sz w:val="20"/>
        </w:rPr>
        <w:t>Nota metodológica: la vulnerabilidad a la pobreza NO se publica a nivel distrital; el nivel oficial más fino es provincial (2018) y departamental agrupado (2019). El VAB oficial se publica por departamento; a nivel de distrito no existe. Se indica la fuente y el año en cada caso.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3676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_territori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67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D6B88"/>
          <w:sz w:val="18"/>
        </w:rPr>
        <w:t>Módulo Territorial: mapa interactivo del Perú coloreado por IDH a nivel distrital, con el detalle presupuestal y socioeconómico por departamento.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6. Seguimiento mensual de indicadores</w:t>
      </w:r>
    </w:p>
    <w:p>
      <w:pPr>
        <w:spacing w:after="120"/>
        <w:pBdr>
          <w:bottom w:val="single" w:sz="6" w:space="1" w:color="B8840E"/>
        </w:pBdr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Sistema que registra automáticamente, cada mes, qué tan cerca o lejos estamos de las metas aspiracionales 2050. Ordena los indicadores del más lejano al más cercano a su meta y calcula un índice de avance. Para los indicadores que cuentan con una serie estadística oficial, el valor se actualiza solo desde la fuente (hoy 6 indicadores toman su valor del BCRP, con su año y su advertencia de vigencia); el resto usa el valor de la redacción de la comisión. Al agregar las comisiones nuevos indicadores, se incorporan automáticamente.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3676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_seguimient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67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D6B88"/>
          <w:sz w:val="18"/>
        </w:rPr>
        <w:t>Módulo Seguimiento: los indicadores ordenados del más lejano al más cercano a su meta 2050, con el valor actual, la meta y el porcentaje de avance.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7. Estado de las observaciones de la última reunión</w:t>
      </w:r>
    </w:p>
    <w:p>
      <w:pPr>
        <w:spacing w:after="120"/>
        <w:pBdr>
          <w:bottom w:val="single" w:sz="6" w:space="1" w:color="B8840E"/>
        </w:pBdr>
      </w:pP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953"/>
            <w:shd w:val="clear" w:fill="1F2A44"/>
          </w:tcPr>
          <w:p>
            <w:r>
              <w:rPr>
                <w:b/>
                <w:color w:val="FFFFFF"/>
                <w:sz w:val="19"/>
              </w:rPr>
              <w:t>Observación</w:t>
            </w:r>
          </w:p>
        </w:tc>
        <w:tc>
          <w:tcPr>
            <w:tcW w:type="dxa" w:w="3685"/>
            <w:shd w:val="clear" w:fill="1F2A44"/>
          </w:tcPr>
          <w:p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5953"/>
          </w:tcPr>
          <w:p>
            <w:r/>
            <w:r>
              <w:rPr>
                <w:color w:val="1A2238"/>
                <w:sz w:val="19"/>
              </w:rPr>
              <w:t>Exportar la matriz de articulación a Excel para validar (igual/similar/causal/desagregado)</w:t>
            </w:r>
          </w:p>
        </w:tc>
        <w:tc>
          <w:tcPr>
            <w:tcW w:type="dxa" w:w="3685"/>
          </w:tcPr>
          <w:p>
            <w:r/>
            <w:r>
              <w:rPr>
                <w:color w:val="1A2238"/>
                <w:sz w:val="19"/>
              </w:rPr>
              <w:t>ATENDIDO — Excel con 3 hojas y columnas de validación</w:t>
            </w:r>
          </w:p>
        </w:tc>
      </w:tr>
      <w:tr>
        <w:tc>
          <w:tcPr>
            <w:tcW w:type="dxa" w:w="5953"/>
          </w:tcPr>
          <w:p>
            <w:r/>
            <w:r>
              <w:rPr>
                <w:color w:val="1A2238"/>
                <w:sz w:val="19"/>
              </w:rPr>
              <w:t>Corregir el PDF que mostraba los ejes temáticos antiguos</w:t>
            </w:r>
          </w:p>
        </w:tc>
        <w:tc>
          <w:tcPr>
            <w:tcW w:type="dxa" w:w="3685"/>
          </w:tcPr>
          <w:p>
            <w:r/>
            <w:r>
              <w:rPr>
                <w:color w:val="1A2238"/>
                <w:sz w:val="19"/>
              </w:rPr>
              <w:t>ATENDIDO — ahora muestra los ejes del Acuerdo Nacional</w:t>
            </w:r>
          </w:p>
        </w:tc>
      </w:tr>
      <w:tr>
        <w:tc>
          <w:tcPr>
            <w:tcW w:type="dxa" w:w="5953"/>
          </w:tcPr>
          <w:p>
            <w:r/>
            <w:r>
              <w:rPr>
                <w:color w:val="1A2238"/>
                <w:sz w:val="19"/>
              </w:rPr>
              <w:t>Articulación con Programas Presupuestales</w:t>
            </w:r>
          </w:p>
        </w:tc>
        <w:tc>
          <w:tcPr>
            <w:tcW w:type="dxa" w:w="3685"/>
          </w:tcPr>
          <w:p>
            <w:r/>
            <w:r>
              <w:rPr>
                <w:color w:val="1A2238"/>
                <w:sz w:val="19"/>
              </w:rPr>
              <w:t>HECHO — en el detalle de cada comisión, en Flujos y en el Excel</w:t>
            </w:r>
          </w:p>
        </w:tc>
      </w:tr>
      <w:tr>
        <w:tc>
          <w:tcPr>
            <w:tcW w:type="dxa" w:w="5953"/>
          </w:tcPr>
          <w:p>
            <w:r/>
            <w:r>
              <w:rPr>
                <w:color w:val="1A2238"/>
                <w:sz w:val="19"/>
              </w:rPr>
              <w:t>Columna de Vulnerabilidad económica a la pobreza (INEI)</w:t>
            </w:r>
          </w:p>
        </w:tc>
        <w:tc>
          <w:tcPr>
            <w:tcW w:type="dxa" w:w="3685"/>
          </w:tcPr>
          <w:p>
            <w:r/>
            <w:r>
              <w:rPr>
                <w:color w:val="1A2238"/>
                <w:sz w:val="19"/>
              </w:rPr>
              <w:t>ATENDIDO — a nivel departamental (no existe distrital)</w:t>
            </w:r>
          </w:p>
        </w:tc>
      </w:tr>
      <w:tr>
        <w:tc>
          <w:tcPr>
            <w:tcW w:type="dxa" w:w="5953"/>
          </w:tcPr>
          <w:p>
            <w:r/>
            <w:r>
              <w:rPr>
                <w:color w:val="1A2238"/>
                <w:sz w:val="19"/>
              </w:rPr>
              <w:t>Columna de Valor Agregado Bruto (VAB)</w:t>
            </w:r>
          </w:p>
        </w:tc>
        <w:tc>
          <w:tcPr>
            <w:tcW w:type="dxa" w:w="3685"/>
          </w:tcPr>
          <w:p>
            <w:r/>
            <w:r>
              <w:rPr>
                <w:color w:val="1A2238"/>
                <w:sz w:val="19"/>
              </w:rPr>
              <w:t>ATENDIDO — por departamento y per cápita (INEI 2023)</w:t>
            </w:r>
          </w:p>
        </w:tc>
      </w:tr>
      <w:tr>
        <w:tc>
          <w:tcPr>
            <w:tcW w:type="dxa" w:w="5953"/>
          </w:tcPr>
          <w:p>
            <w:r/>
            <w:r>
              <w:rPr>
                <w:color w:val="1A2238"/>
                <w:sz w:val="19"/>
              </w:rPr>
              <w:t>Confirmar el año del IDH</w:t>
            </w:r>
          </w:p>
        </w:tc>
        <w:tc>
          <w:tcPr>
            <w:tcW w:type="dxa" w:w="3685"/>
          </w:tcPr>
          <w:p>
            <w:r/>
            <w:r>
              <w:rPr>
                <w:color w:val="1A2238"/>
                <w:sz w:val="19"/>
              </w:rPr>
              <w:t>Es IDH 2019 (PNUD), el último disponible a nivel distrital</w:t>
            </w:r>
          </w:p>
        </w:tc>
      </w:tr>
      <w:tr>
        <w:tc>
          <w:tcPr>
            <w:tcW w:type="dxa" w:w="5953"/>
          </w:tcPr>
          <w:p>
            <w:r/>
            <w:r>
              <w:rPr>
                <w:color w:val="1A2238"/>
                <w:sz w:val="19"/>
              </w:rPr>
              <w:t>Mapa territorial interactivo por distrito</w:t>
            </w:r>
          </w:p>
        </w:tc>
        <w:tc>
          <w:tcPr>
            <w:tcW w:type="dxa" w:w="3685"/>
          </w:tcPr>
          <w:p>
            <w:r/>
            <w:r>
              <w:rPr>
                <w:color w:val="1A2238"/>
                <w:sz w:val="19"/>
              </w:rPr>
              <w:t>ATENDIDO — mapa del Perú con IDH/pobreza y detalle por distrito</w:t>
            </w:r>
          </w:p>
        </w:tc>
      </w:tr>
      <w:tr>
        <w:tc>
          <w:tcPr>
            <w:tcW w:type="dxa" w:w="5953"/>
          </w:tcPr>
          <w:p>
            <w:r/>
            <w:r>
              <w:rPr>
                <w:color w:val="1A2238"/>
                <w:sz w:val="19"/>
              </w:rPr>
              <w:t>Presupuesto corriente vs. inversión por territorio</w:t>
            </w:r>
          </w:p>
        </w:tc>
        <w:tc>
          <w:tcPr>
            <w:tcW w:type="dxa" w:w="3685"/>
          </w:tcPr>
          <w:p>
            <w:r/>
            <w:r>
              <w:rPr>
                <w:color w:val="1A2238"/>
                <w:sz w:val="19"/>
              </w:rPr>
              <w:t>ATENDIDO — por departamento (MEF, tipo de gasto)</w:t>
            </w:r>
          </w:p>
        </w:tc>
      </w:tr>
    </w:tbl>
    <w:p>
      <w:pPr>
        <w:spacing w:after="80"/>
      </w:pPr>
    </w:p>
    <w:p>
      <w:pPr>
        <w:spacing w:after="80" w:before="280"/>
      </w:pPr>
      <w:r>
        <w:rPr>
          <w:b/>
          <w:i w:val="0"/>
          <w:color w:val="D91023"/>
          <w:sz w:val="30"/>
        </w:rPr>
        <w:t>8. Fuentes de datos y principio anti-sobreafirmación</w:t>
      </w:r>
    </w:p>
    <w:p>
      <w:pPr>
        <w:spacing w:after="120"/>
        <w:pBdr>
          <w:bottom w:val="single" w:sz="6" w:space="1" w:color="B8840E"/>
        </w:pBdr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Cada dato del tablero indica su fuente y su año. Detalle de las fuentes oficiales utilizadas: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819"/>
            <w:shd w:val="clear" w:fill="1F2A44"/>
          </w:tcPr>
          <w:p>
            <w:r>
              <w:rPr>
                <w:b/>
                <w:color w:val="FFFFFF"/>
                <w:sz w:val="19"/>
              </w:rPr>
              <w:t>Información</w:t>
            </w:r>
          </w:p>
        </w:tc>
        <w:tc>
          <w:tcPr>
            <w:tcW w:type="dxa" w:w="4819"/>
            <w:shd w:val="clear" w:fill="1F2A44"/>
          </w:tcPr>
          <w:p>
            <w:r>
              <w:rPr>
                <w:b/>
                <w:color w:val="FFFFFF"/>
                <w:sz w:val="19"/>
              </w:rPr>
              <w:t>Fuente · Año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Comisiones Temáticas (visión, diagnóstico, objetivos, metas)</w:t>
            </w:r>
          </w:p>
        </w:tc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Redacciones del CNPP — Colegio de Ingenieros del Perú</w:t>
            </w:r>
          </w:p>
        </w:tc>
      </w:tr>
      <w:tr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Ejes y Políticas de Estado</w:t>
            </w:r>
          </w:p>
        </w:tc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Acuerdo Nacional — acuerdonacional.pe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Programas Presupuestales</w:t>
            </w:r>
          </w:p>
        </w:tc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MEF — Consulta Amigable / SIAF</w:t>
            </w:r>
          </w:p>
        </w:tc>
      </w:tr>
      <w:tr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Gasto público y corriente vs. inversión por departamento</w:t>
            </w:r>
          </w:p>
        </w:tc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MEF — Consulta Amigable / SIAF (año en curso)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IDH, pobreza, pobreza extrema y población por distrito</w:t>
            </w:r>
          </w:p>
        </w:tc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PNUD e INEI (IDH 2019)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Valor Agregado Bruto (VAB) por departamento</w:t>
            </w:r>
          </w:p>
        </w:tc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INEI — PBI por Departamentos 2007–2023 (2023E)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Vulnerabilidad económica a la pobreza</w:t>
            </w:r>
          </w:p>
        </w:tc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INEI (nacional 31,4% 2023; departamental por grupos 2019)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Presión tributaria e informalidad laboral</w:t>
            </w:r>
          </w:p>
        </w:tc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BCRP — BCRPData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Geometría del mapa (distritos)</w:t>
            </w:r>
          </w:p>
        </w:tc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GeoJSON de distritos del Perú (INEI/MINAM)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Además, todo el contenido está rotulado según su naturaleza, para no presentar como oficial lo que es estimado o inferido:</w:t>
      </w:r>
    </w:p>
    <w:p>
      <w:pPr>
        <w:pStyle w:val="ListBullet"/>
        <w:spacing w:after="60"/>
      </w:pPr>
      <w:r>
        <w:rPr>
          <w:color w:val="1A2238"/>
          <w:sz w:val="22"/>
        </w:rPr>
        <w:t>Dato oficial (con fuente y año): IDH y pobreza (PNUD/INEI), gasto MEF (SIAF), VAB y vulnerabilidad (INEI), presión tributaria e informalidad (BCRP).</w:t>
      </w:r>
    </w:p>
    <w:p>
      <w:pPr>
        <w:pStyle w:val="ListBullet"/>
        <w:spacing w:after="60"/>
      </w:pPr>
      <w:r>
        <w:rPr>
          <w:color w:val="1A2238"/>
          <w:sz w:val="22"/>
        </w:rPr>
        <w:t>Propuesta con IA (a validar): la matriz de articulación y el alineamiento del plan de gobierno.</w:t>
      </w:r>
    </w:p>
    <w:p>
      <w:pPr>
        <w:pStyle w:val="ListBullet"/>
        <w:spacing w:after="60"/>
      </w:pPr>
      <w:r>
        <w:rPr>
          <w:color w:val="1A2238"/>
          <w:sz w:val="22"/>
        </w:rPr>
        <w:t>Redacción de la comisión: validada u "en revisión" (línea base preliminar).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9. Cómo revisar y validar</w:t>
      </w:r>
    </w:p>
    <w:p>
      <w:pPr>
        <w:spacing w:after="120"/>
        <w:pBdr>
          <w:bottom w:val="single" w:sz="6" w:space="1" w:color="B8840E"/>
        </w:pBdr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Se adjunta la matriz completa en Excel (Informe-Plan-Peru-2050 → archivo articulacion.xlsx). Cada fila trae la relación propuesta, su tipo y su justificación, más tres columnas para la validación del equipo: «¿Correcto?» (Sí/No/Revisar), «Tipo corregido» y «Observación», con menús desplegables. Con la matriz corregida se puede cerrar la articulación de forma definitiva.</w:t>
      </w:r>
    </w:p>
    <w:p>
      <w:pPr>
        <w:spacing w:after="120" w:before="0"/>
      </w:pPr>
      <w:r>
        <w:rPr>
          <w:b w:val="0"/>
          <w:i w:val="0"/>
          <w:color w:val="B8840E"/>
          <w:sz w:val="21"/>
        </w:rPr>
        <w:t>Descarga directa: https://planperu2050.pe/entregables/articulacion.xlsx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10. Próximos pasos</w:t>
      </w:r>
    </w:p>
    <w:p>
      <w:pPr>
        <w:spacing w:after="120"/>
        <w:pBdr>
          <w:bottom w:val="single" w:sz="6" w:space="1" w:color="B8840E"/>
        </w:pBdr>
      </w:pPr>
    </w:p>
    <w:p>
      <w:pPr>
        <w:pStyle w:val="ListBullet"/>
        <w:spacing w:after="60"/>
      </w:pPr>
      <w:r>
        <w:rPr>
          <w:color w:val="1A2238"/>
          <w:sz w:val="22"/>
        </w:rPr>
        <w:t>Recibir la versión final de las comisiones y actualizar el tablero.</w:t>
      </w:r>
    </w:p>
    <w:p>
      <w:pPr>
        <w:pStyle w:val="ListBullet"/>
        <w:spacing w:after="60"/>
      </w:pPr>
      <w:r>
        <w:rPr>
          <w:color w:val="1A2238"/>
          <w:sz w:val="22"/>
        </w:rPr>
        <w:t>Validación humana de la matriz de articulación (con el Excel adjunto).</w:t>
      </w:r>
    </w:p>
    <w:p>
      <w:pPr>
        <w:pStyle w:val="ListBullet"/>
        <w:spacing w:after="60"/>
      </w:pPr>
      <w:r>
        <w:rPr>
          <w:color w:val="1A2238"/>
          <w:sz w:val="22"/>
        </w:rPr>
        <w:t>Detallar la articulación a nivel de objetivos de cada política de Estado (tercer nivel del Acuerdo Nacional).</w:t>
      </w:r>
    </w:p>
    <w:p>
      <w:pPr>
        <w:pStyle w:val="ListBullet"/>
        <w:spacing w:after="60"/>
      </w:pPr>
      <w:r>
        <w:rPr>
          <w:color w:val="1A2238"/>
          <w:sz w:val="22"/>
        </w:rPr>
        <w:t>Llevar el presupuesto corriente vs. inversión al nivel provincial y distrital.</w:t>
      </w:r>
    </w:p>
    <w:p>
      <w:pPr>
        <w:pStyle w:val="ListBullet"/>
        <w:spacing w:after="60"/>
      </w:pPr>
      <w:r>
        <w:rPr>
          <w:color w:val="1A2238"/>
          <w:sz w:val="22"/>
        </w:rPr>
        <w:t>Conectar más indicadores de seguimiento a fuentes oficiales (INEI/ENDES/MTC/MINEM).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Enlaces</w:t>
      </w:r>
    </w:p>
    <w:p>
      <w:pPr>
        <w:spacing w:after="120"/>
        <w:pBdr>
          <w:bottom w:val="single" w:sz="6" w:space="1" w:color="B8840E"/>
        </w:pBdr>
      </w:pPr>
    </w:p>
    <w:p>
      <w:pPr>
        <w:pStyle w:val="ListBullet"/>
        <w:spacing w:after="60"/>
      </w:pPr>
      <w:r>
        <w:rPr>
          <w:color w:val="1A2238"/>
          <w:sz w:val="22"/>
        </w:rPr>
        <w:t>Plataforma: https://planperu2050.pe</w:t>
      </w:r>
    </w:p>
    <w:p>
      <w:pPr>
        <w:pStyle w:val="ListBullet"/>
        <w:spacing w:after="60"/>
      </w:pPr>
      <w:r>
        <w:rPr>
          <w:color w:val="1A2238"/>
          <w:sz w:val="22"/>
        </w:rPr>
        <w:t>Matriz de articulación (Excel): https://planperu2050.pe/entregables/articulacion.xlsx</w:t>
      </w:r>
    </w:p>
    <w:p>
      <w:pPr>
        <w:pStyle w:val="ListBullet"/>
        <w:spacing w:after="60"/>
      </w:pPr>
      <w:r>
        <w:rPr>
          <w:color w:val="1A2238"/>
          <w:sz w:val="22"/>
        </w:rPr>
        <w:t>Fichas por comisión (PDF): https://planperu2050.pe/entregables/pdf/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223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