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Acuicultura y Pesca</w:t>
      </w:r>
    </w:p>
    <w:p>
      <w:r>
        <w:rPr>
          <w:rFonts w:ascii="Calibri" w:hAnsi="Calibri"/>
          <w:b w:val="0"/>
          <w:i/>
          <w:color w:val="5D6B88"/>
          <w:sz w:val="21"/>
        </w:rPr>
        <w:t>Eje estratégico: Sostenibilidad y Ambiente</w:t>
      </w:r>
    </w:p>
    <w:p>
      <w:r>
        <w:rPr>
          <w:rFonts w:ascii="Calibri" w:hAnsi="Calibri"/>
          <w:b w:val="0"/>
          <w:i w:val="0"/>
          <w:color w:val="1A2238"/>
          <w:sz w:val="23"/>
        </w:rPr>
        <w:t>Documento "Plan Perú 2040 - Acuicultura" del Colegio de Ingenieros del Perú (CIP). Plantea desarrollar la acuicultura como eje de seguridad alimentaria, generación de proteína accesible y oferta exportable con valor agregado, sustentado en reforma del Estado, CTI, marco legal e inversión privada. Nota: el documento NO sigue la estructura estándar del "Informe Ejecutivo" (no incluye Matriz Resumen cuantitativa, Hitos de 100 días ni listas explícitas de articulación al PEDN/Programas Presupuestales).</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4</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5</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8</w:t>
              <w:br/>
            </w:r>
            <w:r>
              <w:rPr>
                <w:rFonts w:ascii="Calibri" w:hAnsi="Calibri"/>
                <w:b w:val="0"/>
                <w:i w:val="0"/>
                <w:color w:val="5D6B88"/>
                <w:sz w:val="17"/>
              </w:rPr>
              <w:t>Objetivos</w:t>
            </w:r>
          </w:p>
        </w:tc>
        <w:tc>
          <w:tcPr>
            <w:tcW w:type="dxa" w:w="2484"/>
            <w:shd w:fill="F4F6FB"/>
          </w:tcPr>
          <w:p>
            <w:pPr>
              <w:jc w:val="center"/>
            </w:pPr>
            <w:r>
              <w:rPr>
                <w:rFonts w:ascii="Calibri" w:hAnsi="Calibri"/>
                <w:b/>
                <w:i w:val="0"/>
                <w:color w:val="D91023"/>
                <w:sz w:val="36"/>
              </w:rPr>
              <w:t>—</w:t>
              <w:br/>
            </w:r>
            <w:r>
              <w:rPr>
                <w:rFonts w:ascii="Calibri" w:hAnsi="Calibri"/>
                <w:b w:val="0"/>
                <w:i w:val="0"/>
                <w:color w:val="5D6B88"/>
                <w:sz w:val="17"/>
              </w:rPr>
              <w:t>Avance estimado</w:t>
            </w:r>
          </w:p>
        </w:tc>
      </w:tr>
    </w:tbl>
    <w:p>
      <w:r>
        <w:rPr>
          <w:rFonts w:ascii="Calibri" w:hAnsi="Calibri"/>
          <w:b/>
          <w:i w:val="0"/>
          <w:color w:val="D91023"/>
          <w:sz w:val="26"/>
        </w:rPr>
        <w:t>Contenido</w:t>
      </w:r>
    </w:p>
    <w:p>
      <w:r>
        <w:rPr>
          <w:rFonts w:ascii="Calibri" w:hAnsi="Calibri"/>
          <w:b/>
          <w:i w:val="0"/>
          <w:color w:val="D91023"/>
          <w:sz w:val="20"/>
        </w:rPr>
        <w:t xml:space="preserve">I.  </w:t>
      </w:r>
      <w:r>
        <w:rPr>
          <w:rFonts w:ascii="Calibri" w:hAnsi="Calibri"/>
          <w:b w:val="0"/>
          <w:i w:val="0"/>
          <w:color w:val="1A2238"/>
          <w:sz w:val="20"/>
        </w:rPr>
        <w:t>Síntesis de la situación futura</w:t>
      </w:r>
    </w:p>
    <w:p>
      <w:r>
        <w:rPr>
          <w:rFonts w:ascii="Calibri" w:hAnsi="Calibri"/>
          <w:b/>
          <w:i w:val="0"/>
          <w:color w:val="D91023"/>
          <w:sz w:val="20"/>
        </w:rPr>
        <w:t xml:space="preserve">II.  </w:t>
      </w:r>
      <w:r>
        <w:rPr>
          <w:rFonts w:ascii="Calibri" w:hAnsi="Calibri"/>
          <w:b w:val="0"/>
          <w:i w:val="0"/>
          <w:color w:val="1A2238"/>
          <w:sz w:val="20"/>
        </w:rPr>
        <w:t>Síntesis de la situación actual</w:t>
      </w:r>
    </w:p>
    <w:p>
      <w:r>
        <w:rPr>
          <w:rFonts w:ascii="Calibri" w:hAnsi="Calibri"/>
          <w:b/>
          <w:i w:val="0"/>
          <w:color w:val="D91023"/>
          <w:sz w:val="20"/>
        </w:rPr>
        <w:t xml:space="preserve">III.  </w:t>
      </w:r>
      <w:r>
        <w:rPr>
          <w:rFonts w:ascii="Calibri" w:hAnsi="Calibri"/>
          <w:b w:val="0"/>
          <w:i w:val="0"/>
          <w:color w:val="1A2238"/>
          <w:sz w:val="20"/>
        </w:rPr>
        <w:t>Objetivos estratégicos</w:t>
      </w:r>
    </w:p>
    <w:p>
      <w:r>
        <w:rPr>
          <w:rFonts w:ascii="Calibri" w:hAnsi="Calibri"/>
          <w:b/>
          <w:i w:val="0"/>
          <w:color w:val="D91023"/>
          <w:sz w:val="20"/>
        </w:rPr>
        <w:t xml:space="preserve">IV.  </w:t>
      </w:r>
      <w:r>
        <w:rPr>
          <w:rFonts w:ascii="Calibri" w:hAnsi="Calibri"/>
          <w:b w:val="0"/>
          <w:i w:val="0"/>
          <w:color w:val="1A2238"/>
          <w:sz w:val="20"/>
        </w:rPr>
        <w:t>Acciones estratégicas</w:t>
      </w:r>
    </w:p>
    <w:p>
      <w:r>
        <w:rPr>
          <w:rFonts w:ascii="Calibri" w:hAnsi="Calibri"/>
          <w:b/>
          <w:i w:val="0"/>
          <w:color w:val="D91023"/>
          <w:sz w:val="20"/>
        </w:rPr>
        <w:t xml:space="preserve">V.  </w:t>
      </w:r>
      <w:r>
        <w:rPr>
          <w:rFonts w:ascii="Calibri" w:hAnsi="Calibri"/>
          <w:b w:val="0"/>
          <w:i w:val="0"/>
          <w:color w:val="1A2238"/>
          <w:sz w:val="20"/>
        </w:rPr>
        <w:t>Matriz resumen (indicadores)</w:t>
      </w:r>
    </w:p>
    <w:p>
      <w:r>
        <w:rPr>
          <w:rFonts w:ascii="Calibri" w:hAnsi="Calibri"/>
          <w:b/>
          <w:i w:val="0"/>
          <w:color w:val="D91023"/>
          <w:sz w:val="20"/>
        </w:rPr>
        <w:t xml:space="preserve">VII.  </w:t>
      </w:r>
      <w:r>
        <w:rPr>
          <w:rFonts w:ascii="Calibri" w:hAnsi="Calibri"/>
          <w:b w:val="0"/>
          <w:i w:val="0"/>
          <w:color w:val="1A2238"/>
          <w:sz w:val="20"/>
        </w:rPr>
        <w:t>Articulación con el Acuerdo Nacional y el PEDN al 2050</w:t>
      </w:r>
    </w:p>
    <w:p>
      <w:r>
        <w:rPr>
          <w:rFonts w:ascii="Calibri" w:hAnsi="Calibri"/>
          <w:b/>
          <w:i w:val="0"/>
          <w:color w:val="D91023"/>
          <w:sz w:val="26"/>
        </w:rPr>
        <w:t>I · Síntesis de la situación futura</w:t>
      </w:r>
    </w:p>
    <w:p>
      <w:r>
        <w:rPr>
          <w:rFonts w:ascii="Calibri" w:hAnsi="Calibri"/>
          <w:b w:val="0"/>
          <w:i w:val="0"/>
          <w:color w:val="1A2238"/>
          <w:sz w:val="21"/>
        </w:rPr>
        <w:t>Al año 2040 el Perú será una sociedad con responsabilidad social, educada en la economía de la creatividad, que aprovecha su biodiversidad convertida en su eje económico, innovando a través de la ciencia, la tecnología e innovación con productos y servicios de alta calidad. Será líder en la oferta exportable de productos con valor agregado, donde la población tiene una alta calidad de vida, con oportunidades para su desarrollo, en un ambiente sostenible y teniendo a su biodiversidad como marca País en el mundo. Visión de la acuicultura: promover la generación de recursos materiales, tecnológicos y financieros pertinentes, así como los servicios técnicos y condiciones institucionales adecuadas para facilitar la inversión privada en la producción acuícola y comercialización de productos acuícolas en el mercado nacional e internacional.</w:t>
      </w:r>
    </w:p>
    <w:p>
      <w:r>
        <w:rPr>
          <w:rFonts w:ascii="Calibri" w:hAnsi="Calibri"/>
          <w:b/>
          <w:i w:val="0"/>
          <w:color w:val="D91023"/>
          <w:sz w:val="26"/>
        </w:rPr>
        <w:t>II · Síntesis de la situación actual</w:t>
      </w:r>
    </w:p>
    <w:p>
      <w:pPr>
        <w:pStyle w:val="ListBullet"/>
      </w:pPr>
      <w:r>
        <w:rPr>
          <w:rFonts w:ascii="Calibri" w:hAnsi="Calibri"/>
          <w:b w:val="0"/>
          <w:i w:val="0"/>
          <w:color w:val="1A2238"/>
          <w:sz w:val="21"/>
        </w:rPr>
        <w:t>La acuicultura en el Perú está mal orientada, retraída y aletargada respecto del mundo actual; su desarrollo es incipiente comparado con otros países de la región y está orientada al cultivo de pocas especies.</w:t>
      </w:r>
    </w:p>
    <w:p>
      <w:pPr>
        <w:pStyle w:val="ListBullet"/>
      </w:pPr>
      <w:r>
        <w:rPr>
          <w:rFonts w:ascii="Calibri" w:hAnsi="Calibri"/>
          <w:b w:val="0"/>
          <w:i w:val="0"/>
          <w:color w:val="1A2238"/>
          <w:sz w:val="21"/>
        </w:rPr>
        <w:t>El 76.41% del área otorgada (15,843.53) corresponde a la actividad acuícola marina y el 23.59% (4,891.93) a la actividad acuícola continental.</w:t>
      </w:r>
    </w:p>
    <w:p>
      <w:pPr>
        <w:pStyle w:val="ListBullet"/>
      </w:pPr>
      <w:r>
        <w:rPr>
          <w:rFonts w:ascii="Calibri" w:hAnsi="Calibri"/>
          <w:b w:val="0"/>
          <w:i w:val="0"/>
          <w:color w:val="1A2238"/>
          <w:sz w:val="21"/>
        </w:rPr>
        <w:t>Los cultivos más extendidos son concha de abanico y langostino (orientados principalmente a la exportación) y trucha en zonas altoandinas (mercado local y exportación); otras especies son peces nativos amazónicos (Gamitana, Paco, Boquichico) y tilapia (San Martín y costa norte).</w:t>
      </w:r>
    </w:p>
    <w:p>
      <w:pPr>
        <w:pStyle w:val="ListBullet"/>
      </w:pPr>
      <w:r>
        <w:rPr>
          <w:rFonts w:ascii="Calibri" w:hAnsi="Calibri"/>
          <w:b w:val="0"/>
          <w:i w:val="0"/>
          <w:color w:val="1A2238"/>
          <w:sz w:val="21"/>
        </w:rPr>
        <w:t>Carece de un plan a largo plazo de desarrollo integrado para todas las regiones que identifique oportunidades de inversión y difunda información técnica.</w:t>
      </w:r>
    </w:p>
    <w:p>
      <w:pPr>
        <w:pStyle w:val="ListBullet"/>
      </w:pPr>
      <w:r>
        <w:rPr>
          <w:rFonts w:ascii="Calibri" w:hAnsi="Calibri"/>
          <w:b w:val="0"/>
          <w:i w:val="0"/>
          <w:color w:val="1A2238"/>
          <w:sz w:val="21"/>
        </w:rPr>
        <w:t>Los estudios e investigaciones sobre acuicultura peruana y la evolución de mercados interno y externo son escasos, lo que limita identificar especies con ventajas competitivas y estimar el crecimiento del sector.</w:t>
      </w:r>
    </w:p>
    <w:p>
      <w:pPr>
        <w:pStyle w:val="ListBullet"/>
      </w:pPr>
      <w:r>
        <w:rPr>
          <w:rFonts w:ascii="Calibri" w:hAnsi="Calibri"/>
          <w:b w:val="0"/>
          <w:i w:val="0"/>
          <w:color w:val="1A2238"/>
          <w:sz w:val="21"/>
        </w:rPr>
        <w:t>La empresa privada y la banca comercial muestran pobre interés en invertir o facilitar créditos.</w:t>
      </w:r>
    </w:p>
    <w:p>
      <w:pPr>
        <w:pStyle w:val="ListBullet"/>
      </w:pPr>
      <w:r>
        <w:rPr>
          <w:rFonts w:ascii="Calibri" w:hAnsi="Calibri"/>
          <w:b w:val="0"/>
          <w:i w:val="0"/>
          <w:color w:val="1A2238"/>
          <w:sz w:val="21"/>
        </w:rPr>
        <w:t>El Perú es un país pesquero extractivo tradicional para consumo humano indirecto (harina de pescado); su desmesurado crecimiento pone en riesgo el ecosistema y deja pasivos ambientales muy negativos.</w:t>
      </w:r>
    </w:p>
    <w:p>
      <w:pPr>
        <w:pStyle w:val="ListBullet"/>
      </w:pPr>
      <w:r>
        <w:rPr>
          <w:rFonts w:ascii="Calibri" w:hAnsi="Calibri"/>
          <w:b w:val="0"/>
          <w:i w:val="0"/>
          <w:color w:val="1A2238"/>
          <w:sz w:val="21"/>
        </w:rPr>
        <w:t>Recursos hídricos abundantes para uso acuícola, pero en riesgo de extinción por pasivos ambientales de otras actividades (minería, pesca, actividad urbana caótica).</w:t>
      </w:r>
    </w:p>
    <w:p>
      <w:pPr>
        <w:pStyle w:val="ListBullet"/>
      </w:pPr>
      <w:r>
        <w:rPr>
          <w:rFonts w:ascii="Calibri" w:hAnsi="Calibri"/>
          <w:b w:val="0"/>
          <w:i w:val="0"/>
          <w:color w:val="1A2238"/>
          <w:sz w:val="21"/>
        </w:rPr>
        <w:t>Gran porcentaje de la población en pobreza y pobreza extrema, con carencias proteicas gigantescas que podrían reducirse drásticamente con voluntad política para impulsar la acuicultura.</w:t>
      </w:r>
    </w:p>
    <w:p>
      <w:pPr>
        <w:pStyle w:val="ListBullet"/>
      </w:pPr>
      <w:r>
        <w:rPr>
          <w:rFonts w:ascii="Calibri" w:hAnsi="Calibri"/>
          <w:b w:val="0"/>
          <w:i w:val="0"/>
          <w:color w:val="1A2238"/>
          <w:sz w:val="21"/>
        </w:rPr>
        <w:t>Insumos críticos: la semilla (langostino con nauplios/postlarvas importados de Ecuador; trucha con ovas embrionadas importadas de Norteamérica o Europa; concha de abanico de bancos naturales) y el alimento balanceado (en pequeña escala suele ser de calidad muy pobre y se desconoce su costo).</w:t>
      </w:r>
    </w:p>
    <w:p>
      <w:pPr>
        <w:pStyle w:val="ListBullet"/>
      </w:pPr>
      <w:r>
        <w:rPr>
          <w:rFonts w:ascii="Calibri" w:hAnsi="Calibri"/>
          <w:b w:val="0"/>
          <w:i w:val="0"/>
          <w:color w:val="1A2238"/>
          <w:sz w:val="21"/>
        </w:rPr>
        <w:t>Limitado número de especialistas de nivel superior en genética, nutrición y manejo de enfermedades, y escasez de escuelas técnicas para formación práctica de acuicultores.</w:t>
      </w:r>
    </w:p>
    <w:p>
      <w:pPr>
        <w:pStyle w:val="ListBullet"/>
      </w:pPr>
      <w:r>
        <w:rPr>
          <w:rFonts w:ascii="Calibri" w:hAnsi="Calibri"/>
          <w:b w:val="0"/>
          <w:i w:val="0"/>
          <w:color w:val="1A2238"/>
          <w:sz w:val="21"/>
        </w:rPr>
        <w:t>Dificultades de equipos, transporte, energía y comunicaciones para los cultivos de trucha, tilapia y peces amazónicos, a diferencia de langostino y concha de abanico que cuentan con infraestructura adecuada.</w:t>
      </w:r>
    </w:p>
    <w:p>
      <w:pPr>
        <w:pStyle w:val="ListBullet"/>
      </w:pPr>
      <w:r>
        <w:rPr>
          <w:rFonts w:ascii="Calibri" w:hAnsi="Calibri"/>
          <w:b w:val="0"/>
          <w:i w:val="0"/>
          <w:color w:val="1A2238"/>
          <w:sz w:val="21"/>
        </w:rPr>
        <w:t>Riesgos identificados: falta de planificación de largo plazo; fenómenos naturales y epizootias no previsibles; alteración de precios de insumos; monopolio de insumos; injerencia política partidaria en cargos técnicos; disminución de niveles de competencia y probidad del capital humano; y la corrupción.</w:t>
      </w:r>
    </w:p>
    <w:p>
      <w:r>
        <w:rPr>
          <w:rFonts w:ascii="Calibri" w:hAnsi="Calibri"/>
          <w:b/>
          <w:i w:val="0"/>
          <w:color w:val="D91023"/>
          <w:sz w:val="26"/>
        </w:rPr>
        <w:t>III · Objetivos estratégicos</w:t>
      </w:r>
    </w:p>
    <w:p>
      <w:pPr>
        <w:pStyle w:val="ListBullet"/>
      </w:pPr>
      <w:r>
        <w:rPr>
          <w:rFonts w:ascii="Calibri" w:hAnsi="Calibri"/>
          <w:b w:val="0"/>
          <w:i w:val="0"/>
          <w:color w:val="1A2238"/>
          <w:sz w:val="21"/>
        </w:rPr>
        <w:t>Objetivo N° 1: Incrementar la calidad, productividad y el volumen de producción acuícola comercializado a nivel nacional e internacional.</w:t>
      </w:r>
    </w:p>
    <w:p>
      <w:pPr>
        <w:pStyle w:val="ListBullet"/>
      </w:pPr>
      <w:r>
        <w:rPr>
          <w:rFonts w:ascii="Calibri" w:hAnsi="Calibri"/>
          <w:b w:val="0"/>
          <w:i w:val="0"/>
          <w:color w:val="1A2238"/>
          <w:sz w:val="21"/>
        </w:rPr>
        <w:t>Objetivo N° 2: Incrementar la inversión privada en acuicultura.</w:t>
      </w:r>
    </w:p>
    <w:p>
      <w:pPr>
        <w:pStyle w:val="ListBullet"/>
      </w:pPr>
      <w:r>
        <w:rPr>
          <w:rFonts w:ascii="Calibri" w:hAnsi="Calibri"/>
          <w:b w:val="0"/>
          <w:i w:val="0"/>
          <w:color w:val="1A2238"/>
          <w:sz w:val="21"/>
        </w:rPr>
        <w:t>Objetivo N° 3: Promover la producción nacional de insumos (semillas y alimento balanceado) para la acuicultura.</w:t>
      </w:r>
    </w:p>
    <w:p>
      <w:pPr>
        <w:pStyle w:val="ListBullet"/>
      </w:pPr>
      <w:r>
        <w:rPr>
          <w:rFonts w:ascii="Calibri" w:hAnsi="Calibri"/>
          <w:b w:val="0"/>
          <w:i w:val="0"/>
          <w:color w:val="1A2238"/>
          <w:sz w:val="21"/>
        </w:rPr>
        <w:t>Objetivo N° 4: Promover el desarrollo de servicios de formación, capacitación y asistencia técnica para la producción y comercialización acuícola.</w:t>
      </w:r>
    </w:p>
    <w:p>
      <w:pPr>
        <w:pStyle w:val="ListBullet"/>
      </w:pPr>
      <w:r>
        <w:rPr>
          <w:rFonts w:ascii="Calibri" w:hAnsi="Calibri"/>
          <w:b w:val="0"/>
          <w:i w:val="0"/>
          <w:color w:val="1A2238"/>
          <w:sz w:val="21"/>
        </w:rPr>
        <w:t>Objetivo N° 5: Promover el desarrollo de servicios de control sanitario para la producción y comercialización acuícola.</w:t>
      </w:r>
    </w:p>
    <w:p>
      <w:pPr>
        <w:pStyle w:val="ListBullet"/>
      </w:pPr>
      <w:r>
        <w:rPr>
          <w:rFonts w:ascii="Calibri" w:hAnsi="Calibri"/>
          <w:b w:val="0"/>
          <w:i w:val="0"/>
          <w:color w:val="1A2238"/>
          <w:sz w:val="21"/>
        </w:rPr>
        <w:t>Objetivo N° 6: Promover la investigación y desarrollo, la adaptación y transferencia tecnológica en materia acuícola.</w:t>
      </w:r>
    </w:p>
    <w:p>
      <w:pPr>
        <w:pStyle w:val="ListBullet"/>
      </w:pPr>
      <w:r>
        <w:rPr>
          <w:rFonts w:ascii="Calibri" w:hAnsi="Calibri"/>
          <w:b w:val="0"/>
          <w:i w:val="0"/>
          <w:color w:val="1A2238"/>
          <w:sz w:val="21"/>
        </w:rPr>
        <w:t>Objetivo N° 7: Contar con una estructura organizacional y capacidades humanas adecuadas para una efectiva elaboración, implementación y evaluación de las políticas e instrumentos de política de promoción acuícola.</w:t>
      </w:r>
    </w:p>
    <w:p>
      <w:pPr>
        <w:pStyle w:val="ListBullet"/>
      </w:pPr>
      <w:r>
        <w:rPr>
          <w:rFonts w:ascii="Calibri" w:hAnsi="Calibri"/>
          <w:b w:val="0"/>
          <w:i w:val="0"/>
          <w:color w:val="1A2238"/>
          <w:sz w:val="21"/>
        </w:rPr>
        <w:t>Objetivo N° 8: Obtener y usar óptimamente recursos financieros para la promoción de la acuicultura, analizando, diseñando e implementando instrumentos para su incremento, distribución y óptimo uso.</w:t>
      </w:r>
    </w:p>
    <w:p>
      <w:r>
        <w:rPr>
          <w:rFonts w:ascii="Calibri" w:hAnsi="Calibri"/>
          <w:b/>
          <w:i w:val="0"/>
          <w:color w:val="D91023"/>
          <w:sz w:val="26"/>
        </w:rPr>
        <w:t>IV · Acciones estratégicas</w:t>
      </w:r>
    </w:p>
    <w:p>
      <w:pPr>
        <w:pStyle w:val="ListBullet"/>
      </w:pPr>
      <w:r>
        <w:rPr>
          <w:rFonts w:ascii="Calibri" w:hAnsi="Calibri"/>
          <w:b w:val="0"/>
          <w:i w:val="0"/>
          <w:color w:val="1A2238"/>
          <w:sz w:val="21"/>
        </w:rPr>
        <w:t>Apoyar el desarrollo de capacidades exportadoras de las empresas productoras acuícolas orgánicas (información comercial y asesoría) y propiciar la asociatividad para facilitar el acceso al mercado de exportación.</w:t>
      </w:r>
    </w:p>
    <w:p>
      <w:pPr>
        <w:pStyle w:val="ListBullet"/>
      </w:pPr>
      <w:r>
        <w:rPr>
          <w:rFonts w:ascii="Calibri" w:hAnsi="Calibri"/>
          <w:b w:val="0"/>
          <w:i w:val="0"/>
          <w:color w:val="1A2238"/>
          <w:sz w:val="21"/>
        </w:rPr>
        <w:t>Propiciar el posicionamiento y fortalecimiento de productos acuícolas en mercados internacionales mediante promoción comercial de PROMPERU, con apoyo del Ministerio de Comercio Exterior y Turismo.</w:t>
      </w:r>
    </w:p>
    <w:p>
      <w:pPr>
        <w:pStyle w:val="ListBullet"/>
      </w:pPr>
      <w:r>
        <w:rPr>
          <w:rFonts w:ascii="Calibri" w:hAnsi="Calibri"/>
          <w:b w:val="0"/>
          <w:i w:val="0"/>
          <w:color w:val="1A2238"/>
          <w:sz w:val="21"/>
        </w:rPr>
        <w:t>Desarrollar el mercado interno para productos de la acuicultura: conocer el mercado, capacitar personal en manipulación de productos pesqueros y desarrollar infraestructura de mercadeo.</w:t>
      </w:r>
    </w:p>
    <w:p>
      <w:pPr>
        <w:pStyle w:val="ListBullet"/>
      </w:pPr>
      <w:r>
        <w:rPr>
          <w:rFonts w:ascii="Calibri" w:hAnsi="Calibri"/>
          <w:b w:val="0"/>
          <w:i w:val="0"/>
          <w:color w:val="1A2238"/>
          <w:sz w:val="21"/>
        </w:rPr>
        <w:t>Fortalecer los mecanismos de aseguramiento y control de la calidad, capacitando a SANIPES y a capacitadores en inocuidad y control de calidad usando el manual respectivo.</w:t>
      </w:r>
    </w:p>
    <w:p>
      <w:pPr>
        <w:pStyle w:val="ListBullet"/>
      </w:pPr>
      <w:r>
        <w:rPr>
          <w:rFonts w:ascii="Calibri" w:hAnsi="Calibri"/>
          <w:b w:val="0"/>
          <w:i w:val="0"/>
          <w:color w:val="1A2238"/>
          <w:sz w:val="21"/>
        </w:rPr>
        <w:t>Promover el diseño de normas técnicas para la acuicultura orientadas al posicionamiento en nuevos mercados.</w:t>
      </w:r>
    </w:p>
    <w:p>
      <w:pPr>
        <w:pStyle w:val="ListBullet"/>
      </w:pPr>
      <w:r>
        <w:rPr>
          <w:rFonts w:ascii="Calibri" w:hAnsi="Calibri"/>
          <w:b w:val="0"/>
          <w:i w:val="0"/>
          <w:color w:val="1A2238"/>
          <w:sz w:val="21"/>
        </w:rPr>
        <w:t>Fomentar la viabilidad económica y competitividad de las granjas acuícolas, fortaleciendo la capacidad de gestión y formalidad de productores de menor escala y subsistencia mediante capacitación y asistencia técnica.</w:t>
      </w:r>
    </w:p>
    <w:p>
      <w:pPr>
        <w:pStyle w:val="ListBullet"/>
      </w:pPr>
      <w:r>
        <w:rPr>
          <w:rFonts w:ascii="Calibri" w:hAnsi="Calibri"/>
          <w:b w:val="0"/>
          <w:i w:val="0"/>
          <w:color w:val="1A2238"/>
          <w:sz w:val="21"/>
        </w:rPr>
        <w:t>Fomentar la organización y gestión empresarial de pequeños y medianos acuicultores (gremios, asociaciones) e incrementar capacidades para gestionar granjas como unidades económicas.</w:t>
      </w:r>
    </w:p>
    <w:p>
      <w:pPr>
        <w:pStyle w:val="ListBullet"/>
      </w:pPr>
      <w:r>
        <w:rPr>
          <w:rFonts w:ascii="Calibri" w:hAnsi="Calibri"/>
          <w:b w:val="0"/>
          <w:i w:val="0"/>
          <w:color w:val="1A2238"/>
          <w:sz w:val="21"/>
        </w:rPr>
        <w:t>Contar con un Sistema de Información Geográfica de acuicultura actualizado, descentralizado e interconectado, publicando datos en el Catastro Acuícola Nacional e interconectándolo con las Regiones mediante software adecuado.</w:t>
      </w:r>
    </w:p>
    <w:p>
      <w:pPr>
        <w:pStyle w:val="ListBullet"/>
      </w:pPr>
      <w:r>
        <w:rPr>
          <w:rFonts w:ascii="Calibri" w:hAnsi="Calibri"/>
          <w:b w:val="0"/>
          <w:i w:val="0"/>
          <w:color w:val="1A2238"/>
          <w:sz w:val="21"/>
        </w:rPr>
        <w:t>Promover la mejora de infraestructura de comunicaciones y servicios (vías de acceso, cadenas de frío, energía) en zonas de desarrollo acuícola, gestionando ante Gobiernos Regionales, APP y empresas.</w:t>
      </w:r>
    </w:p>
    <w:p>
      <w:pPr>
        <w:pStyle w:val="ListBullet"/>
      </w:pPr>
      <w:r>
        <w:rPr>
          <w:rFonts w:ascii="Calibri" w:hAnsi="Calibri"/>
          <w:b w:val="0"/>
          <w:i w:val="0"/>
          <w:color w:val="1A2238"/>
          <w:sz w:val="21"/>
        </w:rPr>
        <w:t>Promover la simplificación de trámites para el otorgamiento de derechos, optimizando la Ventanilla Única de Acuicultura (VUA), y fortalecer la estabilidad jurídica y derechos de uso de áreas acuáticas.</w:t>
      </w:r>
    </w:p>
    <w:p>
      <w:pPr>
        <w:pStyle w:val="ListBullet"/>
      </w:pPr>
      <w:r>
        <w:rPr>
          <w:rFonts w:ascii="Calibri" w:hAnsi="Calibri"/>
          <w:b w:val="0"/>
          <w:i w:val="0"/>
          <w:color w:val="1A2238"/>
          <w:sz w:val="21"/>
        </w:rPr>
        <w:t>Promover el ordenamiento territorial que favorezca el desarrollo y expansión de la acuicultura evitando conflictos por uso de áreas acuáticas.</w:t>
      </w:r>
    </w:p>
    <w:p>
      <w:pPr>
        <w:pStyle w:val="ListBullet"/>
      </w:pPr>
      <w:r>
        <w:rPr>
          <w:rFonts w:ascii="Calibri" w:hAnsi="Calibri"/>
          <w:b w:val="0"/>
          <w:i w:val="0"/>
          <w:color w:val="1A2238"/>
          <w:sz w:val="21"/>
        </w:rPr>
        <w:t>Promover la mejora de los centros de producción acuícola estatales (vía gobiernos regionales, sector privado o APP) para abastecer semilla de buena calidad.</w:t>
      </w:r>
    </w:p>
    <w:p>
      <w:pPr>
        <w:pStyle w:val="ListBullet"/>
      </w:pPr>
      <w:r>
        <w:rPr>
          <w:rFonts w:ascii="Calibri" w:hAnsi="Calibri"/>
          <w:b w:val="0"/>
          <w:i w:val="0"/>
          <w:color w:val="1A2238"/>
          <w:sz w:val="21"/>
        </w:rPr>
        <w:t>Promover la producción de alimento de buena calidad, fomentar normas técnicas de alimento balanceado (harina de pescado u otros sustitutos de bajo costo) e instalar plantas piloto de alimento balanceado.</w:t>
      </w:r>
    </w:p>
    <w:p>
      <w:pPr>
        <w:pStyle w:val="ListBullet"/>
      </w:pPr>
      <w:r>
        <w:rPr>
          <w:rFonts w:ascii="Calibri" w:hAnsi="Calibri"/>
          <w:b w:val="0"/>
          <w:i w:val="0"/>
          <w:color w:val="1A2238"/>
          <w:sz w:val="21"/>
        </w:rPr>
        <w:t>Mejorar la capacitación de personal mediante programas de capacitación/extensión en las Regiones, implementar protocolos de buenas prácticas acuícolas mediante granjas demostrativas y mejorar la formación universitaria y de postgrado.</w:t>
      </w:r>
    </w:p>
    <w:p>
      <w:pPr>
        <w:pStyle w:val="ListBullet"/>
      </w:pPr>
      <w:r>
        <w:rPr>
          <w:rFonts w:ascii="Calibri" w:hAnsi="Calibri"/>
          <w:b w:val="0"/>
          <w:i w:val="0"/>
          <w:color w:val="1A2238"/>
          <w:sz w:val="21"/>
        </w:rPr>
        <w:t>Prevenir y controlar enfermedades estableciendo un sistema nacional de sanidad acuícola con centros de referencia equipados, y regular la prestación de servicios de sanidad acuícola.</w:t>
      </w:r>
    </w:p>
    <w:p>
      <w:pPr>
        <w:pStyle w:val="ListBullet"/>
      </w:pPr>
      <w:r>
        <w:rPr>
          <w:rFonts w:ascii="Calibri" w:hAnsi="Calibri"/>
          <w:b w:val="0"/>
          <w:i w:val="0"/>
          <w:color w:val="1A2238"/>
          <w:sz w:val="21"/>
        </w:rPr>
        <w:t>Establecer prioridades de investigación sobre especies marinas y continentales (exóticas con tecnologías conocidas y nativas), desarrollar y adaptar tecnologías para producir semilla de alta calidad en el país, mediante asociación entre instituciones de investigación y empresas.</w:t>
      </w:r>
    </w:p>
    <w:p>
      <w:pPr>
        <w:pStyle w:val="ListBullet"/>
      </w:pPr>
      <w:r>
        <w:rPr>
          <w:rFonts w:ascii="Calibri" w:hAnsi="Calibri"/>
          <w:b w:val="0"/>
          <w:i w:val="0"/>
          <w:color w:val="1A2238"/>
          <w:sz w:val="21"/>
        </w:rPr>
        <w:t>Fortalecer capacidades organizacionales y de recursos humanos para la ordenación, fomento y desarrollo de la acuicultura, y optimizar el sistema de captación y difusión de información estadística regional y nacional.</w:t>
      </w:r>
    </w:p>
    <w:p>
      <w:pPr>
        <w:pStyle w:val="ListBullet"/>
      </w:pPr>
      <w:r>
        <w:rPr>
          <w:rFonts w:ascii="Calibri" w:hAnsi="Calibri"/>
          <w:b w:val="0"/>
          <w:i w:val="0"/>
          <w:color w:val="1A2238"/>
          <w:sz w:val="21"/>
        </w:rPr>
        <w:t>Obtener, distribuir y usar óptimamente recursos financieros para la promoción de la acuicultura mediante instrumentos diseñados para ese fin.</w:t>
      </w:r>
    </w:p>
    <w:p>
      <w:pPr>
        <w:pStyle w:val="ListBullet"/>
      </w:pPr>
      <w:r>
        <w:rPr>
          <w:rFonts w:ascii="Calibri" w:hAnsi="Calibri"/>
          <w:b w:val="0"/>
          <w:i w:val="0"/>
          <w:color w:val="1A2238"/>
          <w:sz w:val="21"/>
        </w:rPr>
        <w:t>Proyectos priorizados: simplificación administrativa de autorizaciones y concesiones; reducción sistemática de la corrupción; aseguramiento de insumos (semilla y alimento básico inicial); creación del Instituto Nacional de Acuicultura; perfeccionamiento del sistema de planificación; participación del Estado y reforma del sistema; y apoyo institucional al desarrollo de la actividad.</w:t>
      </w:r>
    </w:p>
    <w:p>
      <w:r>
        <w:rPr>
          <w:rFonts w:ascii="Calibri" w:hAnsi="Calibri"/>
          <w:b/>
          <w:i w:val="0"/>
          <w:color w:val="D91023"/>
          <w:sz w:val="26"/>
        </w:rPr>
        <w:t>V · Matriz resumen — 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Área acuícola otorgada destinada a actividad marina</w:t>
            </w:r>
          </w:p>
        </w:tc>
        <w:tc>
          <w:tcPr>
            <w:tcW w:type="dxa" w:w="1656"/>
          </w:tcPr>
          <w:p>
            <w:r>
              <w:rPr>
                <w:rFonts w:ascii="Calibri" w:hAnsi="Calibri"/>
                <w:b w:val="0"/>
                <w:i w:val="0"/>
                <w:color w:val="1A2238"/>
                <w:sz w:val="16"/>
              </w:rPr>
              <w:t>76.41</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del área otorgada</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Acuicultura, CIP (Diagnóstico)</w:t>
            </w:r>
          </w:p>
        </w:tc>
      </w:tr>
      <w:tr>
        <w:tc>
          <w:tcPr>
            <w:tcW w:type="dxa" w:w="1656"/>
          </w:tcPr>
          <w:p>
            <w:r>
              <w:rPr>
                <w:rFonts w:ascii="Calibri" w:hAnsi="Calibri"/>
                <w:b/>
                <w:i w:val="0"/>
                <w:color w:val="1A2238"/>
                <w:sz w:val="16"/>
              </w:rPr>
              <w:t>Área acuícola otorgada destinada a actividad continental</w:t>
            </w:r>
          </w:p>
        </w:tc>
        <w:tc>
          <w:tcPr>
            <w:tcW w:type="dxa" w:w="1656"/>
          </w:tcPr>
          <w:p>
            <w:r>
              <w:rPr>
                <w:rFonts w:ascii="Calibri" w:hAnsi="Calibri"/>
                <w:b w:val="0"/>
                <w:i w:val="0"/>
                <w:color w:val="1A2238"/>
                <w:sz w:val="16"/>
              </w:rPr>
              <w:t>23.59</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del área otorgada</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Acuicultura, CIP (Diagnóstico)</w:t>
            </w:r>
          </w:p>
        </w:tc>
      </w:tr>
      <w:tr>
        <w:tc>
          <w:tcPr>
            <w:tcW w:type="dxa" w:w="1656"/>
          </w:tcPr>
          <w:p>
            <w:r>
              <w:rPr>
                <w:rFonts w:ascii="Calibri" w:hAnsi="Calibri"/>
                <w:b/>
                <w:i w:val="0"/>
                <w:color w:val="1A2238"/>
                <w:sz w:val="16"/>
              </w:rPr>
              <w:t>Área acuícola marina otorgada (superficie)</w:t>
            </w:r>
          </w:p>
        </w:tc>
        <w:tc>
          <w:tcPr>
            <w:tcW w:type="dxa" w:w="1656"/>
          </w:tcPr>
          <w:p>
            <w:r>
              <w:rPr>
                <w:rFonts w:ascii="Calibri" w:hAnsi="Calibri"/>
                <w:b w:val="0"/>
                <w:i w:val="0"/>
                <w:color w:val="1A2238"/>
                <w:sz w:val="16"/>
              </w:rPr>
              <w:t>15 843.53</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hectáreas (superficie otorgada)</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Acuicultura, CIP (Diagnóstico)</w:t>
            </w:r>
          </w:p>
        </w:tc>
      </w:tr>
      <w:tr>
        <w:tc>
          <w:tcPr>
            <w:tcW w:type="dxa" w:w="1656"/>
          </w:tcPr>
          <w:p>
            <w:r>
              <w:rPr>
                <w:rFonts w:ascii="Calibri" w:hAnsi="Calibri"/>
                <w:b/>
                <w:i w:val="0"/>
                <w:color w:val="1A2238"/>
                <w:sz w:val="16"/>
              </w:rPr>
              <w:t>Área acuícola continental otorgada (superficie)</w:t>
            </w:r>
          </w:p>
        </w:tc>
        <w:tc>
          <w:tcPr>
            <w:tcW w:type="dxa" w:w="1656"/>
          </w:tcPr>
          <w:p>
            <w:r>
              <w:rPr>
                <w:rFonts w:ascii="Calibri" w:hAnsi="Calibri"/>
                <w:b w:val="0"/>
                <w:i w:val="0"/>
                <w:color w:val="1A2238"/>
                <w:sz w:val="16"/>
              </w:rPr>
              <w:t>4 891.93</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hectáreas (superficie otorgada)</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Acuicultura, CIP (Diagnóstico)</w:t>
            </w:r>
          </w:p>
        </w:tc>
      </w:tr>
    </w:tbl>
    <w:p>
      <w:r>
        <w:rPr>
          <w:rFonts w:ascii="Calibri" w:hAnsi="Calibri"/>
          <w:b/>
          <w:i w:val="0"/>
          <w:color w:val="D91023"/>
          <w:sz w:val="26"/>
        </w:rPr>
        <w:t>VII · Articulación con el Acuerdo Nacional y el PEDN al 2050</w:t>
      </w:r>
    </w:p>
    <w:p>
      <w:pPr>
        <w:pStyle w:val="ListBullet"/>
      </w:pPr>
      <w:r>
        <w:rPr>
          <w:rFonts w:ascii="Calibri" w:hAnsi="Calibri"/>
          <w:b w:val="0"/>
          <w:i w:val="0"/>
          <w:color w:val="1A2238"/>
          <w:sz w:val="21"/>
        </w:rPr>
        <w:t>Acuerdo Nacional - Décimo Quinta Política de Estado: Promoción de la Seguridad Alimentaria y Nutrición (alentar una producción de alimentos sostenible y diversificada, garantizar alimentos asequibles y suficientes, asegurar el acceso a alimentos y nutrición adecuada para grupos vulnerables).</w:t>
      </w:r>
    </w:p>
    <w:p>
      <w:pPr>
        <w:pStyle w:val="ListBullet"/>
      </w:pPr>
      <w:r>
        <w:rPr>
          <w:rFonts w:ascii="Calibri" w:hAnsi="Calibri"/>
          <w:b w:val="0"/>
          <w:i w:val="0"/>
          <w:color w:val="1A2238"/>
          <w:sz w:val="21"/>
        </w:rPr>
        <w:t>Plan Bicentenario: El Perú hacia el 2021 (CEPLAN, D.S. 054-2011-PCM): visión de economía dinámica, diversificada y de alto nivel tecnológico, con aprovechamiento sostenible de recursos naturales; reconoce el gran potencial de la acuicultura en aguas continentales, especialmente en la región amazónica.</w:t>
      </w:r>
    </w:p>
    <w:p>
      <w:pPr>
        <w:pStyle w:val="ListBullet"/>
      </w:pPr>
      <w:r>
        <w:rPr>
          <w:rFonts w:ascii="Calibri" w:hAnsi="Calibri"/>
          <w:b w:val="0"/>
          <w:i w:val="0"/>
          <w:color w:val="1A2238"/>
          <w:sz w:val="21"/>
        </w:rPr>
        <w:t>Declaración y Estrategia de Bangkok (NACA-FAO, 2000): desarrollo del sector acuícola para contribuir a la disponibilidad de alimentos, seguridad alimentaria, crecimiento económico, comercio y mejora de niveles de vida.</w:t>
      </w:r>
    </w:p>
    <w:p>
      <w:pPr>
        <w:pStyle w:val="ListBullet"/>
      </w:pPr>
      <w:r>
        <w:rPr>
          <w:rFonts w:ascii="Calibri" w:hAnsi="Calibri"/>
          <w:b w:val="0"/>
          <w:i w:val="0"/>
          <w:color w:val="1A2238"/>
          <w:sz w:val="21"/>
        </w:rPr>
        <w:t>Código de Conducta para la Pesca Responsable (FAO), Artículo 9 'Desarrollo de la Acuicultura': medidas de gestión eficaces, prácticas y costo-efectivas.</w:t>
      </w:r>
    </w:p>
    <w:p>
      <w:pPr>
        <w:pStyle w:val="ListBullet"/>
      </w:pPr>
      <w:r>
        <w:rPr>
          <w:rFonts w:ascii="Calibri" w:hAnsi="Calibri"/>
          <w:b w:val="0"/>
          <w:i w:val="0"/>
          <w:color w:val="1A2238"/>
          <w:sz w:val="21"/>
        </w:rPr>
        <w:t>Enfoque Ecosistémico para la Acuicultura (EEA) y principio precautorio para minimizar impactos ambientales.</w:t>
      </w:r>
    </w:p>
    <w:p>
      <w:r>
        <w:rPr>
          <w:rFonts w:ascii="Calibri" w:hAnsi="Calibri"/>
          <w:b/>
          <w:i w:val="0"/>
          <w:color w:val="D91023"/>
          <w:sz w:val="26"/>
        </w:rPr>
        <w:t>Pilares de la estrategia</w:t>
      </w:r>
    </w:p>
    <w:p>
      <w:r>
        <w:rPr>
          <w:rFonts w:ascii="Calibri" w:hAnsi="Calibri"/>
          <w:b/>
          <w:i w:val="0"/>
          <w:color w:val="1A2238"/>
          <w:sz w:val="21"/>
        </w:rPr>
        <w:t xml:space="preserve">Voluntad política: </w:t>
      </w:r>
      <w:r>
        <w:rPr>
          <w:rFonts w:ascii="Calibri" w:hAnsi="Calibri"/>
          <w:b w:val="0"/>
          <w:i w:val="0"/>
          <w:color w:val="1A2238"/>
          <w:sz w:val="21"/>
        </w:rPr>
        <w:t>Voluntad política que trascienda los periodos gubernamentales para garantizar las inversiones dirigidas al desarrollo de la acuicultura.</w:t>
      </w:r>
    </w:p>
    <w:p>
      <w:r>
        <w:rPr>
          <w:rFonts w:ascii="Calibri" w:hAnsi="Calibri"/>
          <w:b/>
          <w:i w:val="0"/>
          <w:color w:val="1A2238"/>
          <w:sz w:val="21"/>
        </w:rPr>
        <w:t xml:space="preserve">Capital humano: </w:t>
      </w:r>
      <w:r>
        <w:rPr>
          <w:rFonts w:ascii="Calibri" w:hAnsi="Calibri"/>
          <w:b w:val="0"/>
          <w:i w:val="0"/>
          <w:color w:val="1A2238"/>
          <w:sz w:val="21"/>
        </w:rPr>
        <w:t>Capital humano como factor primordial de la transformación, priorizando su competencia y probidad en el sector público y privado.</w:t>
      </w:r>
    </w:p>
    <w:p>
      <w:r>
        <w:rPr>
          <w:rFonts w:ascii="Calibri" w:hAnsi="Calibri"/>
          <w:b/>
          <w:i w:val="0"/>
          <w:color w:val="1A2238"/>
          <w:sz w:val="21"/>
        </w:rPr>
        <w:t xml:space="preserve">Ciencia, tecnología e innovación (CTI): </w:t>
      </w:r>
      <w:r>
        <w:rPr>
          <w:rFonts w:ascii="Calibri" w:hAnsi="Calibri"/>
          <w:b w:val="0"/>
          <w:i w:val="0"/>
          <w:color w:val="1A2238"/>
          <w:sz w:val="21"/>
        </w:rPr>
        <w:t>Uso de avances tecnológicos en la gestión pública y privada; la acuicultura requiere CTI por ser una actividad de riesgo.</w:t>
      </w:r>
    </w:p>
    <w:p>
      <w:r>
        <w:rPr>
          <w:rFonts w:ascii="Calibri" w:hAnsi="Calibri"/>
          <w:b/>
          <w:i w:val="0"/>
          <w:color w:val="1A2238"/>
          <w:sz w:val="21"/>
        </w:rPr>
        <w:t xml:space="preserve">Inversión privada y del Estado en CTI: </w:t>
      </w:r>
      <w:r>
        <w:rPr>
          <w:rFonts w:ascii="Calibri" w:hAnsi="Calibri"/>
          <w:b w:val="0"/>
          <w:i w:val="0"/>
          <w:color w:val="1A2238"/>
          <w:sz w:val="21"/>
        </w:rPr>
        <w:t>Inversiones de ambas partes, asumiendo el Estado la inversión de mayor riesgo y de resultados de largo plazo.</w:t>
      </w:r>
    </w:p>
    <w:p>
      <w:r>
        <w:rPr>
          <w:rFonts w:ascii="Calibri" w:hAnsi="Calibri"/>
          <w:b/>
          <w:i w:val="0"/>
          <w:color w:val="1A2238"/>
          <w:sz w:val="21"/>
        </w:rPr>
        <w:t xml:space="preserve">Sostenibilidad ambiental: </w:t>
      </w:r>
      <w:r>
        <w:rPr>
          <w:rFonts w:ascii="Calibri" w:hAnsi="Calibri"/>
          <w:b w:val="0"/>
          <w:i w:val="0"/>
          <w:color w:val="1A2238"/>
          <w:sz w:val="21"/>
        </w:rPr>
        <w:t>Aplicación de medidas de producción sostenibles, buenas prácticas, bioseguridad, trazabilidad, principio precautorio y enfoque ecosistémico (EEA).</w:t>
      </w:r>
    </w:p>
    <w:p>
      <w:r>
        <w:rPr>
          <w:rFonts w:ascii="Calibri" w:hAnsi="Calibri"/>
          <w:b/>
          <w:i w:val="0"/>
          <w:color w:val="D91023"/>
          <w:sz w:val="26"/>
        </w:rPr>
        <w:t>Recomendación de política</w:t>
      </w:r>
    </w:p>
    <w:p>
      <w:r>
        <w:rPr>
          <w:rFonts w:ascii="Calibri" w:hAnsi="Calibri"/>
          <w:b w:val="0"/>
          <w:i w:val="0"/>
          <w:color w:val="1A2238"/>
          <w:sz w:val="21"/>
        </w:rPr>
        <w:t>El documento concluye que el Estado debe ser fuerte, eficaz, eficiente y transparente, y que la prioridad es atender primero la Reforma del Estado por ser trascendente para el desarrollo nacional; una vez iniciada la reforma, se promueve la actividad acuícola. Recomienda crear el Instituto Nacional de Acuicultura, simplificar administrativamente autorizaciones y concesiones, reducir sistemáticamente la corrupción, asegurar insumos (semilla y alimento), articular Gobierno Nacional, Gobiernos Regionales/Locales, sector privado, academia y cooperación internacional, y la participación de profesionales multidisciplinarios con mayor inclusión de ingenieros.</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