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B8840E"/>
          <w:sz w:val="22"/>
        </w:rPr>
        <w:t>PLAN PERÚ 2050</w:t>
      </w:r>
      <w:r>
        <w:br/>
      </w:r>
      <w:r>
        <w:rPr>
          <w:rFonts w:ascii="Calibri" w:hAnsi="Calibri"/>
          <w:b w:val="0"/>
          <w:i w:val="0"/>
          <w:color w:val="5D6B88"/>
          <w:sz w:val="18"/>
        </w:rPr>
        <w:t>Comisión Temática Nacional · CNPP — Colegio de Ingenieros del Perú</w:t>
      </w:r>
    </w:p>
    <w:p>
      <w:r>
        <w:rPr>
          <w:rFonts w:ascii="Calibri" w:hAnsi="Calibri"/>
          <w:b/>
          <w:i w:val="0"/>
          <w:color w:val="D91023"/>
          <w:sz w:val="48"/>
        </w:rPr>
        <w:t>Capital del Conocimiento</w:t>
      </w:r>
    </w:p>
    <w:p>
      <w:r>
        <w:rPr>
          <w:rFonts w:ascii="Calibri" w:hAnsi="Calibri"/>
          <w:b w:val="0"/>
          <w:i/>
          <w:color w:val="5D6B88"/>
          <w:sz w:val="21"/>
        </w:rPr>
        <w:t>Eje estratégico: Economía del Conocimiento</w:t>
      </w:r>
    </w:p>
    <w:p>
      <w:r>
        <w:rPr>
          <w:rFonts w:ascii="Calibri" w:hAnsi="Calibri"/>
          <w:b w:val="0"/>
          <w:i w:val="0"/>
          <w:color w:val="1A2238"/>
          <w:sz w:val="23"/>
        </w:rPr>
        <w:t>La Comisión 9 propone una transición estructural del Perú: dejar de ser una economía extractiva de recursos naturales para convertirse en una Economía del Conocimiento, articulada sobre tres pilares (capital humano, estructural y relacional) y una apuesta por la especialización inteligente al 2050.</w:t>
      </w:r>
    </w:p>
    <w:p>
      <w:r>
        <w:rPr>
          <w:rFonts w:ascii="Calibri" w:hAnsi="Calibri"/>
          <w:b/>
          <w:i w:val="0"/>
          <w:color w:val="D91023"/>
          <w:sz w:val="26"/>
        </w:rPr>
        <w:t>Síntesis cuantitativa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10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Indicadores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3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Pilares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8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Objetivos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8%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Avance estimado</w:t>
            </w:r>
          </w:p>
        </w:tc>
      </w:tr>
    </w:tbl>
    <w:p>
      <w:r>
        <w:rPr>
          <w:rFonts w:ascii="Calibri" w:hAnsi="Calibri"/>
          <w:b/>
          <w:i w:val="0"/>
          <w:color w:val="D91023"/>
          <w:sz w:val="26"/>
        </w:rPr>
        <w:t>Contenido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I.  </w:t>
      </w:r>
      <w:r>
        <w:rPr>
          <w:rFonts w:ascii="Calibri" w:hAnsi="Calibri"/>
          <w:b w:val="0"/>
          <w:i w:val="0"/>
          <w:color w:val="1A2238"/>
          <w:sz w:val="20"/>
        </w:rPr>
        <w:t>Síntesis de la situación futura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II.  </w:t>
      </w:r>
      <w:r>
        <w:rPr>
          <w:rFonts w:ascii="Calibri" w:hAnsi="Calibri"/>
          <w:b w:val="0"/>
          <w:i w:val="0"/>
          <w:color w:val="1A2238"/>
          <w:sz w:val="20"/>
        </w:rPr>
        <w:t>Síntesis de la situación actual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III.  </w:t>
      </w:r>
      <w:r>
        <w:rPr>
          <w:rFonts w:ascii="Calibri" w:hAnsi="Calibri"/>
          <w:b w:val="0"/>
          <w:i w:val="0"/>
          <w:color w:val="1A2238"/>
          <w:sz w:val="20"/>
        </w:rPr>
        <w:t>Objetivos estratégicos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IV.  </w:t>
      </w:r>
      <w:r>
        <w:rPr>
          <w:rFonts w:ascii="Calibri" w:hAnsi="Calibri"/>
          <w:b w:val="0"/>
          <w:i w:val="0"/>
          <w:color w:val="1A2238"/>
          <w:sz w:val="20"/>
        </w:rPr>
        <w:t>Acciones estratégicas</w:t>
      </w:r>
    </w:p>
    <w:p>
      <w:r>
        <w:rPr>
          <w:rFonts w:ascii="Calibri" w:hAnsi="Calibri"/>
          <w:b/>
          <w:i w:val="0"/>
          <w:color w:val="D91023"/>
          <w:sz w:val="20"/>
        </w:rPr>
        <w:t xml:space="preserve">V.  </w:t>
      </w:r>
      <w:r>
        <w:rPr>
          <w:rFonts w:ascii="Calibri" w:hAnsi="Calibri"/>
          <w:b w:val="0"/>
          <w:i w:val="0"/>
          <w:color w:val="1A2238"/>
          <w:sz w:val="20"/>
        </w:rPr>
        <w:t>Matriz resumen (indicadores)</w:t>
      </w:r>
    </w:p>
    <w:p>
      <w:r>
        <w:rPr>
          <w:rFonts w:ascii="Calibri" w:hAnsi="Calibri"/>
          <w:b/>
          <w:i w:val="0"/>
          <w:color w:val="D91023"/>
          <w:sz w:val="26"/>
        </w:rPr>
        <w:t>I · Síntesis de la situación futura</w:t>
      </w:r>
    </w:p>
    <w:p>
      <w:r>
        <w:rPr>
          <w:rFonts w:ascii="Calibri" w:hAnsi="Calibri"/>
          <w:b w:val="0"/>
          <w:i w:val="0"/>
          <w:color w:val="1A2238"/>
          <w:sz w:val="21"/>
        </w:rPr>
        <w:t>Al 2050, el Perú deja de ser un exportador de recursos primarios para convertirse en una economía intensiva en conocimiento, innovación y talento, con una institucionalidad moderna que sostenga políticas de largo plazo y consolide un ecosistema nacional competitivo, inclusivo y basado en el talento y la generación de valor agregado.</w:t>
      </w:r>
    </w:p>
    <w:p>
      <w:r>
        <w:rPr>
          <w:rFonts w:ascii="Calibri" w:hAnsi="Calibri"/>
          <w:b/>
          <w:i w:val="0"/>
          <w:color w:val="D91023"/>
          <w:sz w:val="26"/>
        </w:rPr>
        <w:t>II · Síntesis de la situación actual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Baja inversión en I+D: el Perú invierte apenas 0.13% del PBI en investigacion y desarrollo, frente al 2.5% promedio de la OCDE (Peru21, 2023; OCDE, 2023).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Comparacion internacional de I+D (% del PBI): Peru 0.13%, Chile 0.4%, Colombia 0.29%, Brasil 1.15%, promedio OCDE 2.5%, Corea del Sur 4.9%, Israel 5.6%.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Problema de composicion: el esfuerzo en I+D+i depende en gran medida del sector publico, con participacion limitada del sector privado.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Deficit de capital humano: brecha critica en competencias STEM/CTIM y pensamiento analitico, segun PISA y el Foro Economico Mundial.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Brecha de calidad educativa y desajuste de habilidades: resultados insuficientes en lectura, matematicas y ciencias; egresados sin las competencias que demandan los sectores productivos.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Persistencia de brechas urbano-rurales y socioeconomicas; limitaciones en formacion docente y recursos pedagogicos; deficit de talento en areas CTIM.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Fuga de talentos: perdida sostenida de capital humano altamente calificado (investigadores, cientificos, tecnicos) que migra al exterior.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Baja patentabilidad: produccion minima de propiedad intelectual que perpetua la dependencia tecnologica externa.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Brecha digital e infraestructura tecnologica: brechas de conectividad y calidad de acceso, especialmente en zonas rurales, amazonicas y altoandinas (OSIPTEL, 2023; BID, 2023; INEI, 2023).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Debil articulacion entre Estado, empresa y academia, y limitada insercion en redes internacionales de investigacion e innovacion.</w:t>
      </w:r>
    </w:p>
    <w:p>
      <w:r>
        <w:rPr>
          <w:rFonts w:ascii="Calibri" w:hAnsi="Calibri"/>
          <w:b/>
          <w:i w:val="0"/>
          <w:color w:val="D91023"/>
          <w:sz w:val="26"/>
        </w:rPr>
        <w:t>III · Objetivos estratégicos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Alcanzar una inversion del 2.5% del PBI en I+D (resumen ejecutivo); la tabla 6.1 fija una meta referencial de 2% al 2050.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Lograr que el 20% de las exportaciones totales sean de alta tecnologia.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Alcanzar ~2,000 investigadores por millon de habitantes al 2050.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Eje 1 al 2050: Peru entre los paises lideres de America Latina en formacion CTIM, talento y retencion de investigadores.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Eje 2 al 2050: Peru exportador relevante de licencias, soluciones tecnologicas y propiedad intelectual; posicionado como hub digital y logistico del Pacifico Sur.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Eje 3 al 2050: Peru posicionado como referente regional en cooperacion cientifica y transferencia de conocimiento.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Cobertura nacional total de conectividad educativa e infraestructura digital critica.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Especializacion inteligente: Mineria 4.0 (de vender concentrados a exportar servicios de ingenieria y robotica - METS), Biotecnologia y biodiversidad, Agrotecnologia y alimentos funcionales, Economia creativa y servicios digitales, y Energias del futuro (hidrogeno verde).</w:t>
      </w:r>
    </w:p>
    <w:p>
      <w:r>
        <w:rPr>
          <w:rFonts w:ascii="Calibri" w:hAnsi="Calibri"/>
          <w:b/>
          <w:i w:val="0"/>
          <w:color w:val="D91023"/>
          <w:sz w:val="26"/>
        </w:rPr>
        <w:t>IV · Acciones estratégicas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Impulsar prioritariamente la formacion en CTIM e incorporar pensamiento computacional, alfabetizacion digital, robotica e IA desde la educacion basica.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Modernizar la educacion tecnica (tecnologias 4.0, microcredenciales, reskilling) y fortalecer universidades orientadas a investigacion y posgrado.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Implementar mecanismos de retorno y vinculacion del talento peruano en el exterior para revertir la fuga de talentos.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Incrementar progresivamente la inversion nacional en I+D+i y crear fondos competitivos, capital semilla y capital de riesgo para startups tecnologicas.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Simplificar y digitalizar el registro de patentes (fast-track), reducir costos/tiempos y crear incentivos tributarios a la innovacion patentable.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Expandir la conectividad de alta velocidad (Red Dorsal de Fibra Optica 2.0), centros de datos y supercomputacion; fortalecer ciberseguridad y soberania digital.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Consolidar la Triple Helice: crear oficinas de transferencia tecnologica, parques cientificos y tecnologicos regionales y clusters especializados.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Fortalecer la cooperacion internacional, redes cientificas, movilidad academica y diplomacia cientifica y tecnologica.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Impulsar la especializacion inteligente en biotecnologia, mineria 4.0, agrotecnologia, economia creativa/servicios digitales y energias del futuro.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Crear una instancia nacional de articulacion del capital del conocimiento y un sistema nacional de monitoreo con indicadores de largo plazo y financiamiento multianual.</w:t>
      </w:r>
    </w:p>
    <w:p>
      <w:r>
        <w:rPr>
          <w:rFonts w:ascii="Calibri" w:hAnsi="Calibri"/>
          <w:b/>
          <w:i w:val="0"/>
          <w:color w:val="D91023"/>
          <w:sz w:val="26"/>
        </w:rPr>
        <w:t>V · Matriz resumen — indicadores: hoy → meta 2050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Hoy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Meta 2050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Unidad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% avance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Fuente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Inversion en I+D (% del PBI)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0.16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2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 PBI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8%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Tabla 6.1 Indicadores estrategicos nacionales al 2050 (situacion referencial actual ~0.16%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Investigadores por millon de habitantes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150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2 000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investigadores/millon hab.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8%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Tabla 6.1 Indicadores estrategicos nacionales al 2050 (~150 -&gt; 2,000).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Exportaciones de alta tecnologia (% de exportaciones totales)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20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 xml:space="preserve">Resumen ejecutivo, Meta Cuantitativa (lograr que el 20% de las exportaciones totales sean 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Egresados de secundaria con certificacion tecnica o digital complementaria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40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Metas orientativas Eje 1 (40% al 2040).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Empresas medianas y grandes con unidades activas de I+D+i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5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Metas orientativas Eje 2 (5% al 2040).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Infraestructura tecnologica alimentada con energias renovables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80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Metas orientativas Eje 2 (80% al 2040).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Instituciones educativas publicas conectadas con banda ancha de calidad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Metas orientativas Eje 2 (100% al 2030).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Instituciones publicas criticas conectadas con banda ancha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Metas orientativas Eje 2 (100% al 2030).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Solicitudes de patentes de residentes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veces (incremento)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Tabla 6.1: situacion 'Baja' -&gt; meta 'Incremento de 10 veces'. Eje 2 fija meta intermedia d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Cobertura nacional de conectividad educativa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Tabla 6.1: situacion 'Parcial' -&gt; meta '100%'.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852160" cy="1570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ce_capital-del-conocimien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7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D6B88"/>
          <w:sz w:val="16"/>
        </w:rPr>
        <w:t>Avance estimado de cada indicador hacia su meta 2050.</w:t>
      </w:r>
    </w:p>
    <w:p>
      <w:r>
        <w:rPr>
          <w:rFonts w:ascii="Calibri" w:hAnsi="Calibri"/>
          <w:b/>
          <w:i w:val="0"/>
          <w:color w:val="D91023"/>
          <w:sz w:val="26"/>
        </w:rPr>
        <w:t>Pilares de la estrategia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Capital Humano (El "Saber"): </w:t>
      </w:r>
      <w:r>
        <w:rPr>
          <w:rFonts w:ascii="Calibri" w:hAnsi="Calibri"/>
          <w:b w:val="0"/>
          <w:i w:val="0"/>
          <w:color w:val="1A2238"/>
          <w:sz w:val="21"/>
        </w:rPr>
        <w:t>Transformacion integral del sistema educativo (basico, tecnico, universitario y posgrado) con enfasis en alfabetizacion digital, IA, formacion CTIM, aprendizaje continuo y retencion de investigadores.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Capital Estructural (El "Entorno"): </w:t>
      </w:r>
      <w:r>
        <w:rPr>
          <w:rFonts w:ascii="Calibri" w:hAnsi="Calibri"/>
          <w:b w:val="0"/>
          <w:i w:val="0"/>
          <w:color w:val="1A2238"/>
          <w:sz w:val="21"/>
        </w:rPr>
        <w:t>Infraestructura fisica, tecnologica y legal robusta: inversion en I+D+i, Red Dorsal de Fibra Optica 2.0, sistema de patentes fast-track, financiamiento y capital de riesgo, ciberseguridad y soberania digital, centros de datos y supercomputacion.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Capital Relacional (La "Red"): </w:t>
      </w:r>
      <w:r>
        <w:rPr>
          <w:rFonts w:ascii="Calibri" w:hAnsi="Calibri"/>
          <w:b w:val="0"/>
          <w:i w:val="0"/>
          <w:color w:val="1A2238"/>
          <w:sz w:val="21"/>
        </w:rPr>
        <w:t>Consolidacion de la Triple Helice (Estado-Academia-Empresa), ecosistemas regionales de innovacion, cooperacion internacional, innovacion abierta y aprovechamiento de los TLC para transferencia tecnologica y exportacion de servicios de alto valor.</w:t>
      </w:r>
    </w:p>
    <w:p>
      <w:r>
        <w:rPr>
          <w:rFonts w:ascii="Calibri" w:hAnsi="Calibri"/>
          <w:b/>
          <w:i w:val="0"/>
          <w:color w:val="D91023"/>
          <w:sz w:val="26"/>
        </w:rPr>
        <w:t>Recomendación de política</w:t>
      </w:r>
    </w:p>
    <w:p>
      <w:r>
        <w:rPr>
          <w:rFonts w:ascii="Calibri" w:hAnsi="Calibri"/>
          <w:b w:val="0"/>
          <w:i w:val="0"/>
          <w:color w:val="1A2238"/>
          <w:sz w:val="21"/>
        </w:rPr>
        <w:t>Institucionalizar el Ministerio de Ciencia, Tecnologia e Innovacion (MINCTI) y establecer un marco legal que blinde el presupuesto de innovacion con compromisos presupuestales multianuales, asegurando que el conocimiento sea una politica de Estado de largo plazo y no de gobierno.</w:t>
      </w:r>
    </w:p>
    <w:p/>
    <w:p>
      <w:r>
        <w:rPr>
          <w:rFonts w:ascii="Calibri" w:hAnsi="Calibri"/>
          <w:b w:val="0"/>
          <w:i/>
          <w:color w:val="5D6B88"/>
          <w:sz w:val="15"/>
        </w:rPr>
        <w:t>Documento potenciado a partir de la redacción de la comisión. Las cifras provienen del documento fuente y están sujetas a validación oficial. La silueta territorial es referencial.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