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i w:val="0"/>
          <w:color w:val="B8840E"/>
          <w:sz w:val="22"/>
        </w:rPr>
        <w:t>PLAN PERÚ 2050</w:t>
      </w:r>
      <w:r>
        <w:br/>
      </w:r>
      <w:r>
        <w:rPr>
          <w:rFonts w:ascii="Calibri" w:hAnsi="Calibri"/>
          <w:b w:val="0"/>
          <w:i w:val="0"/>
          <w:color w:val="5D6B88"/>
          <w:sz w:val="18"/>
        </w:rPr>
        <w:t>Comisión Temática Nacional · CNPP — Colegio de Ingenieros del Perú</w:t>
      </w:r>
    </w:p>
    <w:p>
      <w:r>
        <w:rPr>
          <w:rFonts w:ascii="Calibri" w:hAnsi="Calibri"/>
          <w:b/>
          <w:i w:val="0"/>
          <w:color w:val="D91023"/>
          <w:sz w:val="48"/>
        </w:rPr>
        <w:t>Educación (Tres Niveles)</w:t>
      </w:r>
    </w:p>
    <w:p>
      <w:r>
        <w:rPr>
          <w:rFonts w:ascii="Calibri" w:hAnsi="Calibri"/>
          <w:b w:val="0"/>
          <w:i/>
          <w:color w:val="5D6B88"/>
          <w:sz w:val="21"/>
        </w:rPr>
        <w:t>Eje estratégico: Economía del Conocimiento</w:t>
      </w:r>
    </w:p>
    <w:p>
      <w:r>
        <w:rPr>
          <w:rFonts w:ascii="Calibri" w:hAnsi="Calibri"/>
          <w:b w:val="0"/>
          <w:i w:val="0"/>
          <w:color w:val="1A2238"/>
          <w:sz w:val="23"/>
        </w:rPr>
        <w:t>Propuesta prospectiva de una "revolución educativa" para el Perú al 2040, que coloca a la educación al mismo nivel de prioridad que la economía y las finanzas (PBI educativo del 6%), fundada en ciencia, tecnología e I+D permanente, y orientada a formar personas aptas en cinco facetas: social (equidad), económica (emprendimiento), ambiental (solidaridad), intelectual (verdad) y humana (belleza).</w:t>
      </w:r>
    </w:p>
    <w:p>
      <w:r>
        <w:rPr>
          <w:rFonts w:ascii="Calibri" w:hAnsi="Calibri"/>
          <w:b/>
          <w:i w:val="0"/>
          <w:color w:val="D91023"/>
          <w:sz w:val="26"/>
        </w:rPr>
        <w:t>Síntesis cuantitativa</w:t>
      </w:r>
    </w:p>
    <w:tbl>
      <w:tblPr>
        <w:tblW w:type="auto" w:w="0"/>
        <w:jc w:val="center"/>
        <w:tblLook w:firstColumn="1" w:firstRow="1" w:lastColumn="0" w:lastRow="0" w:noHBand="0" w:noVBand="1" w:val="04A0"/>
      </w:tblPr>
      <w:tblGrid>
        <w:gridCol w:w="2484"/>
        <w:gridCol w:w="2484"/>
        <w:gridCol w:w="2484"/>
        <w:gridCol w:w="2484"/>
      </w:tblGrid>
      <w:tr>
        <w:tc>
          <w:tcPr>
            <w:tcW w:type="dxa" w:w="2484"/>
            <w:shd w:fill="F4F6FB"/>
          </w:tcPr>
          <w:p>
            <w:pPr>
              <w:jc w:val="center"/>
            </w:pPr>
            <w:r>
              <w:rPr>
                <w:rFonts w:ascii="Calibri" w:hAnsi="Calibri"/>
                <w:b/>
                <w:i w:val="0"/>
                <w:color w:val="D91023"/>
                <w:sz w:val="36"/>
              </w:rPr>
              <w:t>8</w:t>
              <w:br/>
            </w:r>
            <w:r>
              <w:rPr>
                <w:rFonts w:ascii="Calibri" w:hAnsi="Calibri"/>
                <w:b w:val="0"/>
                <w:i w:val="0"/>
                <w:color w:val="5D6B88"/>
                <w:sz w:val="17"/>
              </w:rPr>
              <w:t>Indicadores</w:t>
            </w:r>
          </w:p>
        </w:tc>
        <w:tc>
          <w:tcPr>
            <w:tcW w:type="dxa" w:w="2484"/>
            <w:shd w:fill="F4F6FB"/>
          </w:tcPr>
          <w:p>
            <w:pPr>
              <w:jc w:val="center"/>
            </w:pPr>
            <w:r>
              <w:rPr>
                <w:rFonts w:ascii="Calibri" w:hAnsi="Calibri"/>
                <w:b/>
                <w:i w:val="0"/>
                <w:color w:val="D91023"/>
                <w:sz w:val="36"/>
              </w:rPr>
              <w:t>5</w:t>
              <w:br/>
            </w:r>
            <w:r>
              <w:rPr>
                <w:rFonts w:ascii="Calibri" w:hAnsi="Calibri"/>
                <w:b w:val="0"/>
                <w:i w:val="0"/>
                <w:color w:val="5D6B88"/>
                <w:sz w:val="17"/>
              </w:rPr>
              <w:t>Pilares</w:t>
            </w:r>
          </w:p>
        </w:tc>
        <w:tc>
          <w:tcPr>
            <w:tcW w:type="dxa" w:w="2484"/>
            <w:shd w:fill="F4F6FB"/>
          </w:tcPr>
          <w:p>
            <w:pPr>
              <w:jc w:val="center"/>
            </w:pPr>
            <w:r>
              <w:rPr>
                <w:rFonts w:ascii="Calibri" w:hAnsi="Calibri"/>
                <w:b/>
                <w:i w:val="0"/>
                <w:color w:val="D91023"/>
                <w:sz w:val="36"/>
              </w:rPr>
              <w:t>9</w:t>
              <w:br/>
            </w:r>
            <w:r>
              <w:rPr>
                <w:rFonts w:ascii="Calibri" w:hAnsi="Calibri"/>
                <w:b w:val="0"/>
                <w:i w:val="0"/>
                <w:color w:val="5D6B88"/>
                <w:sz w:val="17"/>
              </w:rPr>
              <w:t>Objetivos</w:t>
            </w:r>
          </w:p>
        </w:tc>
        <w:tc>
          <w:tcPr>
            <w:tcW w:type="dxa" w:w="2484"/>
            <w:shd w:fill="F4F6FB"/>
          </w:tcPr>
          <w:p>
            <w:pPr>
              <w:jc w:val="center"/>
            </w:pPr>
            <w:r>
              <w:rPr>
                <w:rFonts w:ascii="Calibri" w:hAnsi="Calibri"/>
                <w:b/>
                <w:i w:val="0"/>
                <w:color w:val="D91023"/>
                <w:sz w:val="36"/>
              </w:rPr>
              <w:t>—</w:t>
              <w:br/>
            </w:r>
            <w:r>
              <w:rPr>
                <w:rFonts w:ascii="Calibri" w:hAnsi="Calibri"/>
                <w:b w:val="0"/>
                <w:i w:val="0"/>
                <w:color w:val="5D6B88"/>
                <w:sz w:val="17"/>
              </w:rPr>
              <w:t>Avance estimado</w:t>
            </w:r>
          </w:p>
        </w:tc>
      </w:tr>
    </w:tbl>
    <w:p>
      <w:r>
        <w:rPr>
          <w:rFonts w:ascii="Calibri" w:hAnsi="Calibri"/>
          <w:b/>
          <w:i w:val="0"/>
          <w:color w:val="D91023"/>
          <w:sz w:val="26"/>
        </w:rPr>
        <w:t>Contenido</w:t>
      </w:r>
    </w:p>
    <w:p>
      <w:r>
        <w:rPr>
          <w:rFonts w:ascii="Calibri" w:hAnsi="Calibri"/>
          <w:b/>
          <w:i w:val="0"/>
          <w:color w:val="D91023"/>
          <w:sz w:val="20"/>
        </w:rPr>
        <w:t xml:space="preserve">I.  </w:t>
      </w:r>
      <w:r>
        <w:rPr>
          <w:rFonts w:ascii="Calibri" w:hAnsi="Calibri"/>
          <w:b w:val="0"/>
          <w:i w:val="0"/>
          <w:color w:val="1A2238"/>
          <w:sz w:val="20"/>
        </w:rPr>
        <w:t>Síntesis de la situación futura</w:t>
      </w:r>
    </w:p>
    <w:p>
      <w:r>
        <w:rPr>
          <w:rFonts w:ascii="Calibri" w:hAnsi="Calibri"/>
          <w:b/>
          <w:i w:val="0"/>
          <w:color w:val="D91023"/>
          <w:sz w:val="20"/>
        </w:rPr>
        <w:t xml:space="preserve">II.  </w:t>
      </w:r>
      <w:r>
        <w:rPr>
          <w:rFonts w:ascii="Calibri" w:hAnsi="Calibri"/>
          <w:b w:val="0"/>
          <w:i w:val="0"/>
          <w:color w:val="1A2238"/>
          <w:sz w:val="20"/>
        </w:rPr>
        <w:t>Síntesis de la situación actual</w:t>
      </w:r>
    </w:p>
    <w:p>
      <w:r>
        <w:rPr>
          <w:rFonts w:ascii="Calibri" w:hAnsi="Calibri"/>
          <w:b/>
          <w:i w:val="0"/>
          <w:color w:val="D91023"/>
          <w:sz w:val="20"/>
        </w:rPr>
        <w:t xml:space="preserve">III.  </w:t>
      </w:r>
      <w:r>
        <w:rPr>
          <w:rFonts w:ascii="Calibri" w:hAnsi="Calibri"/>
          <w:b w:val="0"/>
          <w:i w:val="0"/>
          <w:color w:val="1A2238"/>
          <w:sz w:val="20"/>
        </w:rPr>
        <w:t>Objetivos estratégicos</w:t>
      </w:r>
    </w:p>
    <w:p>
      <w:r>
        <w:rPr>
          <w:rFonts w:ascii="Calibri" w:hAnsi="Calibri"/>
          <w:b/>
          <w:i w:val="0"/>
          <w:color w:val="D91023"/>
          <w:sz w:val="20"/>
        </w:rPr>
        <w:t xml:space="preserve">IV.  </w:t>
      </w:r>
      <w:r>
        <w:rPr>
          <w:rFonts w:ascii="Calibri" w:hAnsi="Calibri"/>
          <w:b w:val="0"/>
          <w:i w:val="0"/>
          <w:color w:val="1A2238"/>
          <w:sz w:val="20"/>
        </w:rPr>
        <w:t>Acciones estratégicas</w:t>
      </w:r>
    </w:p>
    <w:p>
      <w:r>
        <w:rPr>
          <w:rFonts w:ascii="Calibri" w:hAnsi="Calibri"/>
          <w:b/>
          <w:i w:val="0"/>
          <w:color w:val="D91023"/>
          <w:sz w:val="20"/>
        </w:rPr>
        <w:t xml:space="preserve">V.  </w:t>
      </w:r>
      <w:r>
        <w:rPr>
          <w:rFonts w:ascii="Calibri" w:hAnsi="Calibri"/>
          <w:b w:val="0"/>
          <w:i w:val="0"/>
          <w:color w:val="1A2238"/>
          <w:sz w:val="20"/>
        </w:rPr>
        <w:t>Matriz resumen (indicadores)</w:t>
      </w:r>
    </w:p>
    <w:p>
      <w:r>
        <w:rPr>
          <w:rFonts w:ascii="Calibri" w:hAnsi="Calibri"/>
          <w:b/>
          <w:i w:val="0"/>
          <w:color w:val="D91023"/>
          <w:sz w:val="20"/>
        </w:rPr>
        <w:t xml:space="preserve">VII.  </w:t>
      </w:r>
      <w:r>
        <w:rPr>
          <w:rFonts w:ascii="Calibri" w:hAnsi="Calibri"/>
          <w:b w:val="0"/>
          <w:i w:val="0"/>
          <w:color w:val="1A2238"/>
          <w:sz w:val="20"/>
        </w:rPr>
        <w:t>Articulación con el Acuerdo Nacional y el PEDN al 2050</w:t>
      </w:r>
    </w:p>
    <w:p>
      <w:r>
        <w:rPr>
          <w:rFonts w:ascii="Calibri" w:hAnsi="Calibri"/>
          <w:b/>
          <w:i w:val="0"/>
          <w:color w:val="D91023"/>
          <w:sz w:val="26"/>
        </w:rPr>
        <w:t>I · Síntesis de la situación futura</w:t>
      </w:r>
    </w:p>
    <w:p>
      <w:r>
        <w:rPr>
          <w:rFonts w:ascii="Calibri" w:hAnsi="Calibri"/>
          <w:b w:val="0"/>
          <w:i w:val="0"/>
          <w:color w:val="1A2238"/>
          <w:sz w:val="21"/>
        </w:rPr>
        <w:t>Al 2040 el Perú tendrá un elevado Índice de Desarrollo Humano (IDH), posicionándose entre las naciones del Primer Mundo líderes en equidad y conservación ambiental, tras seis periodos de gobierno que aplicaron democrática y participativamente políticas de Estado con visión de futuro en el marco de la igualdad de oportunidades y la Economía Social de Mercado, impulsada por una sociedad del conocimiento generada mediante sostenida inversión en ciencia, tecnología e innovación, y por el aprovechamiento del vasto capital humano y la mega diversidad de las regiones. Estará en ejecución un Sistema Educativo único, producto de investigación y desarrollo permanente y de alta calidad, que habrá innovado el marco conceptual y operativo de una educación con claras metas de futuro, eliminando el subdesarrollo y fortaleciendo la aptitud de las personas para la equidad, emprendimiento, solidaridad, verdad y belleza. El Perú habrá ingresado a una era de desarrollo continuado y autónomo, emulando a Finlandia, Noruega y Suiza, lo que constituiría una "segunda independencia" guiada por el conocimiento científico y la tecnología.</w:t>
      </w:r>
    </w:p>
    <w:p>
      <w:r>
        <w:rPr>
          <w:rFonts w:ascii="Calibri" w:hAnsi="Calibri"/>
          <w:b/>
          <w:i w:val="0"/>
          <w:color w:val="D91023"/>
          <w:sz w:val="26"/>
        </w:rPr>
        <w:t>II · Síntesis de la situación actual</w:t>
      </w:r>
    </w:p>
    <w:p>
      <w:pPr>
        <w:pStyle w:val="ListBullet"/>
      </w:pPr>
      <w:r>
        <w:rPr>
          <w:rFonts w:ascii="Calibri" w:hAnsi="Calibri"/>
          <w:b w:val="0"/>
          <w:i w:val="0"/>
          <w:color w:val="1A2238"/>
          <w:sz w:val="21"/>
        </w:rPr>
        <w:t>La calidad del sistema educativo peruano no está en concordancia con las necesidades del país; las evaluaciones de logros de aprendizaje indican que no se está educando con éxito a los estudiantes, especialmente a los más pobres.</w:t>
      </w:r>
    </w:p>
    <w:p>
      <w:pPr>
        <w:pStyle w:val="ListBullet"/>
      </w:pPr>
      <w:r>
        <w:rPr>
          <w:rFonts w:ascii="Calibri" w:hAnsi="Calibri"/>
          <w:b w:val="0"/>
          <w:i w:val="0"/>
          <w:color w:val="1A2238"/>
          <w:sz w:val="21"/>
        </w:rPr>
        <w:t>Escaso porcentaje del PBI destinado a la educación (debería ser 6%), lo que impone barreras al futuro académico, laboral y social de los niños, sobre todo los más pobres.</w:t>
      </w:r>
    </w:p>
    <w:p>
      <w:pPr>
        <w:pStyle w:val="ListBullet"/>
      </w:pPr>
      <w:r>
        <w:rPr>
          <w:rFonts w:ascii="Calibri" w:hAnsi="Calibri"/>
          <w:b w:val="0"/>
          <w:i w:val="0"/>
          <w:color w:val="1A2238"/>
          <w:sz w:val="21"/>
        </w:rPr>
        <w:t>En PISA 2009 el Perú se ubicó último en América Latina (media 368; lectura 370; matemáticas 365; ciencias 369), por debajo de Chile, Uruguay, México, Brasil, Colombia, Argentina y Panamá.</w:t>
      </w:r>
    </w:p>
    <w:p>
      <w:pPr>
        <w:pStyle w:val="ListBullet"/>
      </w:pPr>
      <w:r>
        <w:rPr>
          <w:rFonts w:ascii="Calibri" w:hAnsi="Calibri"/>
          <w:b w:val="0"/>
          <w:i w:val="0"/>
          <w:color w:val="1A2238"/>
          <w:sz w:val="21"/>
        </w:rPr>
        <w:t>Modelo de educación desfasado en el tiempo, diseñado para mantener un statu quo discriminatorio; se desperdician miles de millones de recursos por falta de alternativa conceptual y metodológica y por rutina burocrática.</w:t>
      </w:r>
    </w:p>
    <w:p>
      <w:pPr>
        <w:pStyle w:val="ListBullet"/>
      </w:pPr>
      <w:r>
        <w:rPr>
          <w:rFonts w:ascii="Calibri" w:hAnsi="Calibri"/>
          <w:b w:val="0"/>
          <w:i w:val="0"/>
          <w:color w:val="1A2238"/>
          <w:sz w:val="21"/>
        </w:rPr>
        <w:t>Educadores: deficiente formación y calificación docente; falta de capacidad para elevar la baja comprensión de lectura y el cálculo básico; tendencia a trabajar menos y de manera rutinaria, con limitado compromiso y menos horas lectivas; débil reconocimiento y salarios.</w:t>
      </w:r>
    </w:p>
    <w:p>
      <w:pPr>
        <w:pStyle w:val="ListBullet"/>
      </w:pPr>
      <w:r>
        <w:rPr>
          <w:rFonts w:ascii="Calibri" w:hAnsi="Calibri"/>
          <w:b w:val="0"/>
          <w:i w:val="0"/>
          <w:color w:val="1A2238"/>
          <w:sz w:val="21"/>
        </w:rPr>
        <w:t>Falta de programas integrales de desarrollo del niño desde la primera infancia, nutrición y salud preventiva.</w:t>
      </w:r>
    </w:p>
    <w:p>
      <w:pPr>
        <w:pStyle w:val="ListBullet"/>
      </w:pPr>
      <w:r>
        <w:rPr>
          <w:rFonts w:ascii="Calibri" w:hAnsi="Calibri"/>
          <w:b w:val="0"/>
          <w:i w:val="0"/>
          <w:color w:val="1A2238"/>
          <w:sz w:val="21"/>
        </w:rPr>
        <w:t>Familia y comunidad: traslado de la cultura del subdesarrollo; dispersión cultural; desigualdad en el proceso educativo (rural/urbano, mujer/hombre, pobre/rico, niños normales/con necesidades especiales).</w:t>
      </w:r>
    </w:p>
    <w:p>
      <w:pPr>
        <w:pStyle w:val="ListBullet"/>
      </w:pPr>
      <w:r>
        <w:rPr>
          <w:rFonts w:ascii="Calibri" w:hAnsi="Calibri"/>
          <w:b w:val="0"/>
          <w:i w:val="0"/>
          <w:color w:val="1A2238"/>
          <w:sz w:val="21"/>
        </w:rPr>
        <w:t>Gobierno nacional, regional y local: carencia de organizaciones de I+D aplicadas a la educación; administración en compartimentos estanco; criterios de gasto centrados en la administración de recursos antes que en su uso estratégico de largo plazo.</w:t>
      </w:r>
    </w:p>
    <w:p>
      <w:pPr>
        <w:pStyle w:val="ListBullet"/>
      </w:pPr>
      <w:r>
        <w:rPr>
          <w:rFonts w:ascii="Calibri" w:hAnsi="Calibri"/>
          <w:b w:val="0"/>
          <w:i w:val="0"/>
          <w:color w:val="1A2238"/>
          <w:sz w:val="21"/>
        </w:rPr>
        <w:t>Ministerio de Educación: persiste la desigualdad rural/urbana, de género, socioeconómica y por necesidades especiales; débil formación docente; tasas altas de repetición y retiro; desconexión entre la formación educativa regular y el mercado laboral.</w:t>
      </w:r>
    </w:p>
    <w:p>
      <w:pPr>
        <w:pStyle w:val="ListBullet"/>
      </w:pPr>
      <w:r>
        <w:rPr>
          <w:rFonts w:ascii="Calibri" w:hAnsi="Calibri"/>
          <w:b w:val="0"/>
          <w:i w:val="0"/>
          <w:color w:val="1A2238"/>
          <w:sz w:val="21"/>
        </w:rPr>
        <w:t>Organizaciones educativas: de 2,124 instituciones de mejor calidad en investigación en el mundo, el Perú registra solo una, frente a 27 de Brasil, 12 de Argentina y 11 de Chile; educación técnica desvalorizada y desconectada de la realidad; énfasis excesivo en la inteligencia cognoscitiva en desmedro de las demás 'inteligencias'.</w:t>
      </w:r>
    </w:p>
    <w:p>
      <w:pPr>
        <w:pStyle w:val="ListBullet"/>
      </w:pPr>
      <w:r>
        <w:rPr>
          <w:rFonts w:ascii="Calibri" w:hAnsi="Calibri"/>
          <w:b w:val="0"/>
          <w:i w:val="0"/>
          <w:color w:val="1A2238"/>
          <w:sz w:val="21"/>
        </w:rPr>
        <w:t>Empresa privada y sociedad: insuficiente promoción y auspicio de la formación del personal; grave desnivel de remuneraciones según nivel educativo (ENAHO 2002: posgrado universitario 13.36 veces el ingreso de primaria incompleta), atribuible a las carencias del sistema educativo.</w:t>
      </w:r>
    </w:p>
    <w:p>
      <w:pPr>
        <w:pStyle w:val="ListBullet"/>
      </w:pPr>
      <w:r>
        <w:rPr>
          <w:rFonts w:ascii="Calibri" w:hAnsi="Calibri"/>
          <w:b w:val="0"/>
          <w:i w:val="0"/>
          <w:color w:val="1A2238"/>
          <w:sz w:val="21"/>
        </w:rPr>
        <w:t>Para una visión de desarrollo del Perú lo prioritario son hoy las finanzas y la economía; la educación debe estar en la misma prioridad.</w:t>
      </w:r>
    </w:p>
    <w:p>
      <w:r>
        <w:rPr>
          <w:rFonts w:ascii="Calibri" w:hAnsi="Calibri"/>
          <w:b/>
          <w:i w:val="0"/>
          <w:color w:val="D91023"/>
          <w:sz w:val="26"/>
        </w:rPr>
        <w:t>III · Objetivos estratégicos</w:t>
      </w:r>
    </w:p>
    <w:p>
      <w:pPr>
        <w:pStyle w:val="ListBullet"/>
      </w:pPr>
      <w:r>
        <w:rPr>
          <w:rFonts w:ascii="Calibri" w:hAnsi="Calibri"/>
          <w:b w:val="0"/>
          <w:i w:val="0"/>
          <w:color w:val="1A2238"/>
          <w:sz w:val="21"/>
        </w:rPr>
        <w:t>Una nueva educación dirigida a lograr el desarrollo de la sociedad peruana.</w:t>
      </w:r>
    </w:p>
    <w:p>
      <w:pPr>
        <w:pStyle w:val="ListBullet"/>
      </w:pPr>
      <w:r>
        <w:rPr>
          <w:rFonts w:ascii="Calibri" w:hAnsi="Calibri"/>
          <w:b w:val="0"/>
          <w:i w:val="0"/>
          <w:color w:val="1A2238"/>
          <w:sz w:val="21"/>
        </w:rPr>
        <w:t>Un puente al futuro, a través de la creación de un organismo pensante como cabeza del sistema (ente rector de I+D).</w:t>
      </w:r>
    </w:p>
    <w:p>
      <w:pPr>
        <w:pStyle w:val="ListBullet"/>
      </w:pPr>
      <w:r>
        <w:rPr>
          <w:rFonts w:ascii="Calibri" w:hAnsi="Calibri"/>
          <w:b w:val="0"/>
          <w:i w:val="0"/>
          <w:color w:val="1A2238"/>
          <w:sz w:val="21"/>
        </w:rPr>
        <w:t>Una sociedad educadora como responsabilidad y tarea de todos.</w:t>
      </w:r>
    </w:p>
    <w:p>
      <w:pPr>
        <w:pStyle w:val="ListBullet"/>
      </w:pPr>
      <w:r>
        <w:rPr>
          <w:rFonts w:ascii="Calibri" w:hAnsi="Calibri"/>
          <w:b w:val="0"/>
          <w:i w:val="0"/>
          <w:color w:val="1A2238"/>
          <w:sz w:val="21"/>
        </w:rPr>
        <w:t>Una educación que potencie las capacidades dormidas de las personas y genere la defensa y aprovechamiento del patrimonio que corresponde a los peruanos en su tierra.</w:t>
      </w:r>
    </w:p>
    <w:p>
      <w:pPr>
        <w:pStyle w:val="ListBullet"/>
      </w:pPr>
      <w:r>
        <w:rPr>
          <w:rFonts w:ascii="Calibri" w:hAnsi="Calibri"/>
          <w:b w:val="0"/>
          <w:i w:val="0"/>
          <w:color w:val="1A2238"/>
          <w:sz w:val="21"/>
        </w:rPr>
        <w:t>Lograr un proceso educativo en el que el educando fortalezca su carácter para vivir con equidad en sociedad y contribuir al desarrollo social y a la formación del capital social e institucional de su comunidad (aprender a vivir juntos).</w:t>
      </w:r>
    </w:p>
    <w:p>
      <w:pPr>
        <w:pStyle w:val="ListBullet"/>
      </w:pPr>
      <w:r>
        <w:rPr>
          <w:rFonts w:ascii="Calibri" w:hAnsi="Calibri"/>
          <w:b w:val="0"/>
          <w:i w:val="0"/>
          <w:color w:val="1A2238"/>
          <w:sz w:val="21"/>
        </w:rPr>
        <w:t>Lograr un proceso educativo para la práctica emprendedora, aprendiendo a hacer y contribuyendo al desarrollo económico y a la formación del capital físico y financiero productivo (aprender a hacer).</w:t>
      </w:r>
    </w:p>
    <w:p>
      <w:pPr>
        <w:pStyle w:val="ListBullet"/>
      </w:pPr>
      <w:r>
        <w:rPr>
          <w:rFonts w:ascii="Calibri" w:hAnsi="Calibri"/>
          <w:b w:val="0"/>
          <w:i w:val="0"/>
          <w:color w:val="1A2238"/>
          <w:sz w:val="21"/>
        </w:rPr>
        <w:t>Lograr un proceso educativo para la acción solidaria, aprendiendo a vivir con los otros y contribuir a la sostenibilidad ambiental y a la formación del capital natural (aprender a vivir con los otros).</w:t>
      </w:r>
    </w:p>
    <w:p>
      <w:pPr>
        <w:pStyle w:val="ListBullet"/>
      </w:pPr>
      <w:r>
        <w:rPr>
          <w:rFonts w:ascii="Calibri" w:hAnsi="Calibri"/>
          <w:b w:val="0"/>
          <w:i w:val="0"/>
          <w:color w:val="1A2238"/>
          <w:sz w:val="21"/>
        </w:rPr>
        <w:t>Lograr un proceso educativo para buscar la verdad, aprendiendo a aprender ciencias, tecnologías e innovación y a la formación del capital en conocimientos y saberes (aprender a conocer).</w:t>
      </w:r>
    </w:p>
    <w:p>
      <w:pPr>
        <w:pStyle w:val="ListBullet"/>
      </w:pPr>
      <w:r>
        <w:rPr>
          <w:rFonts w:ascii="Calibri" w:hAnsi="Calibri"/>
          <w:b w:val="0"/>
          <w:i w:val="0"/>
          <w:color w:val="1A2238"/>
          <w:sz w:val="21"/>
        </w:rPr>
        <w:t>Lograr un proceso educativo para orientarse a la trascendencia y la belleza, aprendiendo la vivencia del desarrollo humano y la formación del capital humano (aprender a ser).</w:t>
      </w:r>
    </w:p>
    <w:p>
      <w:r>
        <w:rPr>
          <w:rFonts w:ascii="Calibri" w:hAnsi="Calibri"/>
          <w:b/>
          <w:i w:val="0"/>
          <w:color w:val="D91023"/>
          <w:sz w:val="26"/>
        </w:rPr>
        <w:t>IV · Acciones estratégicas</w:t>
      </w:r>
    </w:p>
    <w:p>
      <w:pPr>
        <w:pStyle w:val="ListBullet"/>
      </w:pPr>
      <w:r>
        <w:rPr>
          <w:rFonts w:ascii="Calibri" w:hAnsi="Calibri"/>
          <w:b w:val="0"/>
          <w:i w:val="0"/>
          <w:color w:val="1A2238"/>
          <w:sz w:val="21"/>
        </w:rPr>
        <w:t>Diseñar las demandas de educación al 2040: educación durante la vida, para la vida familiar, de la personalidad básica, para el disfrute del trabajo, laboral especializada, de futuros padres, para la 3ª edad, para la Era del Conocimiento y para el desarrollo local.</w:t>
      </w:r>
    </w:p>
    <w:p>
      <w:pPr>
        <w:pStyle w:val="ListBullet"/>
      </w:pPr>
      <w:r>
        <w:rPr>
          <w:rFonts w:ascii="Calibri" w:hAnsi="Calibri"/>
          <w:b w:val="0"/>
          <w:i w:val="0"/>
          <w:color w:val="1A2238"/>
          <w:sz w:val="21"/>
        </w:rPr>
        <w:t>Diseñar las responsabilidades de los Directores de los procesos educativos (Estado, gobiernos regionales y locales, entidades empresariales).</w:t>
      </w:r>
    </w:p>
    <w:p>
      <w:pPr>
        <w:pStyle w:val="ListBullet"/>
      </w:pPr>
      <w:r>
        <w:rPr>
          <w:rFonts w:ascii="Calibri" w:hAnsi="Calibri"/>
          <w:b w:val="0"/>
          <w:i w:val="0"/>
          <w:color w:val="1A2238"/>
          <w:sz w:val="21"/>
        </w:rPr>
        <w:t>Diseñar las responsabilidades de los Actores de los procesos educativos (padres de familia, sociedad civil, confesiones religiosas, gobiernos locales, entidades empresariales).</w:t>
      </w:r>
    </w:p>
    <w:p>
      <w:pPr>
        <w:pStyle w:val="ListBullet"/>
      </w:pPr>
      <w:r>
        <w:rPr>
          <w:rFonts w:ascii="Calibri" w:hAnsi="Calibri"/>
          <w:b w:val="0"/>
          <w:i w:val="0"/>
          <w:color w:val="1A2238"/>
          <w:sz w:val="21"/>
        </w:rPr>
        <w:t>Diseñar los alcances de los sectores temáticos de la educación: primeros 4 años; lectura y cálculo como herramientas del aprendizaje; personalidad básica del niño; ciudadanía; aptitud productiva; gestión del medio ambiente; ciencia, tecnología e innovación; y desarrollo humano.</w:t>
      </w:r>
    </w:p>
    <w:p>
      <w:pPr>
        <w:pStyle w:val="ListBullet"/>
      </w:pPr>
      <w:r>
        <w:rPr>
          <w:rFonts w:ascii="Calibri" w:hAnsi="Calibri"/>
          <w:b w:val="0"/>
          <w:i w:val="0"/>
          <w:color w:val="1A2238"/>
          <w:sz w:val="21"/>
        </w:rPr>
        <w:t>Diseñar las características de la educación de connotación específica (áreas rurales, marginales e industriales; entidades privadas, laborales, asociativas, confesionales y militares).</w:t>
      </w:r>
    </w:p>
    <w:p>
      <w:pPr>
        <w:pStyle w:val="ListBullet"/>
      </w:pPr>
      <w:r>
        <w:rPr>
          <w:rFonts w:ascii="Calibri" w:hAnsi="Calibri"/>
          <w:b w:val="0"/>
          <w:i w:val="0"/>
          <w:color w:val="1A2238"/>
          <w:sz w:val="21"/>
        </w:rPr>
        <w:t>Diseñar las finalidades de los procesos educativos con vocación a la producción (exportación de bienes y servicios, economía de subsistencia, consumo autónomo local, producción hacia mercados dinámicos).</w:t>
      </w:r>
    </w:p>
    <w:p>
      <w:pPr>
        <w:pStyle w:val="ListBullet"/>
      </w:pPr>
      <w:r>
        <w:rPr>
          <w:rFonts w:ascii="Calibri" w:hAnsi="Calibri"/>
          <w:b w:val="0"/>
          <w:i w:val="0"/>
          <w:color w:val="1A2238"/>
          <w:sz w:val="21"/>
        </w:rPr>
        <w:t>Diseñar los roles específicos de los elementos de una Sociedad Educadora (maestro, científico y académico; colegios profesionales; medios de comunicación; burocracia).</w:t>
      </w:r>
    </w:p>
    <w:p>
      <w:pPr>
        <w:pStyle w:val="ListBullet"/>
      </w:pPr>
      <w:r>
        <w:rPr>
          <w:rFonts w:ascii="Calibri" w:hAnsi="Calibri"/>
          <w:b w:val="0"/>
          <w:i w:val="0"/>
          <w:color w:val="1A2238"/>
          <w:sz w:val="21"/>
        </w:rPr>
        <w:t>Diseñar un sistema educativo atento al cambio que habilite peruanos capaces de promover sociedades locales proactivas, desarrollo humano armónico, emprendimiento competitivo, cuidado del ambiente local y conocimiento para el avance y bienestar.</w:t>
      </w:r>
    </w:p>
    <w:p>
      <w:pPr>
        <w:pStyle w:val="ListBullet"/>
      </w:pPr>
      <w:r>
        <w:rPr>
          <w:rFonts w:ascii="Calibri" w:hAnsi="Calibri"/>
          <w:b w:val="0"/>
          <w:i w:val="0"/>
          <w:color w:val="1A2238"/>
          <w:sz w:val="21"/>
        </w:rPr>
        <w:t>Diseñar el rol holístico de un sistema de calidad de la educación y la proyección de la población hacia un modelo mental acorde con la realidad del siglo XXI.</w:t>
      </w:r>
    </w:p>
    <w:p>
      <w:pPr>
        <w:pStyle w:val="ListBullet"/>
      </w:pPr>
      <w:r>
        <w:rPr>
          <w:rFonts w:ascii="Calibri" w:hAnsi="Calibri"/>
          <w:b w:val="0"/>
          <w:i w:val="0"/>
          <w:color w:val="1A2238"/>
          <w:sz w:val="21"/>
        </w:rPr>
        <w:t>Implementar los Cuatro Sistemas Básicos del Proyecto: (a) sistema rector de I+D (Red de Centros de I+D con ente rector); (b) sistema de gestión de procesos educativos (normar, supervisar y evaluar la metodología de campo); (c) sistema de ejecución desconcentrada (logística, económica y docente); y (d) sistema de validación de resultados, acreditación de competencias y certificación de idoneidad.</w:t>
      </w:r>
    </w:p>
    <w:p>
      <w:pPr>
        <w:pStyle w:val="ListBullet"/>
      </w:pPr>
      <w:r>
        <w:rPr>
          <w:rFonts w:ascii="Calibri" w:hAnsi="Calibri"/>
          <w:b w:val="0"/>
          <w:i w:val="0"/>
          <w:color w:val="1A2238"/>
          <w:sz w:val="21"/>
        </w:rPr>
        <w:t>Procesos a cargo de los Usuarios: elevar el presupuesto del sector educativo al 6% del PBI; proveer infraestructura civil adecuada a los centros educativos más alejados; dotar de plataformas digitales para acceso universal a la información; proveer currículos dinámicos acordes con la ciencia, tecnología e innovación; proveer profesores calificados; y establecer programas conjuntos escuela-familia.</w:t>
      </w:r>
    </w:p>
    <w:p>
      <w:pPr>
        <w:pStyle w:val="ListBullet"/>
      </w:pPr>
      <w:r>
        <w:rPr>
          <w:rFonts w:ascii="Calibri" w:hAnsi="Calibri"/>
          <w:b w:val="0"/>
          <w:i w:val="0"/>
          <w:color w:val="1A2238"/>
          <w:sz w:val="21"/>
        </w:rPr>
        <w:t>Capacitar a los docentes en inteligencia emocional y moral; fomentar la investigación científica del proceso enseñanza-aprendizaje en las universidades; implementar módulos de gestión de la innovación; promover la mejora continua de las unidades educativas; fomentar la alfabetización digital y el uso de tecnologías milenarias en los currículos rurales.</w:t>
      </w:r>
    </w:p>
    <w:p>
      <w:r>
        <w:rPr>
          <w:rFonts w:ascii="Calibri" w:hAnsi="Calibri"/>
          <w:b/>
          <w:i w:val="0"/>
          <w:color w:val="D91023"/>
          <w:sz w:val="26"/>
        </w:rPr>
        <w:t>V · Matriz resumen — indicadores: hoy → meta 2050</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D91023"/>
          </w:tcPr>
          <w:p>
            <w:r>
              <w:rPr>
                <w:rFonts w:ascii="Calibri" w:hAnsi="Calibri"/>
                <w:b/>
                <w:i w:val="0"/>
                <w:color w:val="FFFFFF"/>
                <w:sz w:val="17"/>
              </w:rPr>
              <w:t>Indicador</w:t>
            </w:r>
          </w:p>
        </w:tc>
        <w:tc>
          <w:tcPr>
            <w:tcW w:type="dxa" w:w="1656"/>
            <w:shd w:fill="D91023"/>
          </w:tcPr>
          <w:p>
            <w:r>
              <w:rPr>
                <w:rFonts w:ascii="Calibri" w:hAnsi="Calibri"/>
                <w:b/>
                <w:i w:val="0"/>
                <w:color w:val="FFFFFF"/>
                <w:sz w:val="17"/>
              </w:rPr>
              <w:t>Hoy</w:t>
            </w:r>
          </w:p>
        </w:tc>
        <w:tc>
          <w:tcPr>
            <w:tcW w:type="dxa" w:w="1656"/>
            <w:shd w:fill="D91023"/>
          </w:tcPr>
          <w:p>
            <w:r>
              <w:rPr>
                <w:rFonts w:ascii="Calibri" w:hAnsi="Calibri"/>
                <w:b/>
                <w:i w:val="0"/>
                <w:color w:val="FFFFFF"/>
                <w:sz w:val="17"/>
              </w:rPr>
              <w:t>Meta 2050</w:t>
            </w:r>
          </w:p>
        </w:tc>
        <w:tc>
          <w:tcPr>
            <w:tcW w:type="dxa" w:w="1656"/>
            <w:shd w:fill="D91023"/>
          </w:tcPr>
          <w:p>
            <w:r>
              <w:rPr>
                <w:rFonts w:ascii="Calibri" w:hAnsi="Calibri"/>
                <w:b/>
                <w:i w:val="0"/>
                <w:color w:val="FFFFFF"/>
                <w:sz w:val="17"/>
              </w:rPr>
              <w:t>Unidad</w:t>
            </w:r>
          </w:p>
        </w:tc>
        <w:tc>
          <w:tcPr>
            <w:tcW w:type="dxa" w:w="1656"/>
            <w:shd w:fill="D91023"/>
          </w:tcPr>
          <w:p>
            <w:r>
              <w:rPr>
                <w:rFonts w:ascii="Calibri" w:hAnsi="Calibri"/>
                <w:b/>
                <w:i w:val="0"/>
                <w:color w:val="FFFFFF"/>
                <w:sz w:val="17"/>
              </w:rPr>
              <w:t>% avance</w:t>
            </w:r>
          </w:p>
        </w:tc>
        <w:tc>
          <w:tcPr>
            <w:tcW w:type="dxa" w:w="1656"/>
            <w:shd w:fill="D91023"/>
          </w:tcPr>
          <w:p>
            <w:r>
              <w:rPr>
                <w:rFonts w:ascii="Calibri" w:hAnsi="Calibri"/>
                <w:b/>
                <w:i w:val="0"/>
                <w:color w:val="FFFFFF"/>
                <w:sz w:val="17"/>
              </w:rPr>
              <w:t>Fuente</w:t>
            </w:r>
          </w:p>
        </w:tc>
      </w:tr>
      <w:tr>
        <w:tc>
          <w:tcPr>
            <w:tcW w:type="dxa" w:w="1656"/>
          </w:tcPr>
          <w:p>
            <w:r>
              <w:rPr>
                <w:rFonts w:ascii="Calibri" w:hAnsi="Calibri"/>
                <w:b/>
                <w:i w:val="0"/>
                <w:color w:val="1A2238"/>
                <w:sz w:val="16"/>
              </w:rPr>
              <w:t>Porcentaje del PBI destinado a la educación</w:t>
            </w:r>
          </w:p>
        </w:tc>
        <w:tc>
          <w:tcPr>
            <w:tcW w:type="dxa" w:w="1656"/>
          </w:tcPr>
          <w:p>
            <w:r>
              <w:rPr>
                <w:rFonts w:ascii="Calibri" w:hAnsi="Calibri"/>
                <w:b w:val="0"/>
                <w:i w:val="0"/>
                <w:color w:val="1A2238"/>
                <w:sz w:val="16"/>
              </w:rPr>
              <w:t>s/d</w:t>
            </w:r>
          </w:p>
        </w:tc>
        <w:tc>
          <w:tcPr>
            <w:tcW w:type="dxa" w:w="1656"/>
          </w:tcPr>
          <w:p>
            <w:r>
              <w:rPr>
                <w:rFonts w:ascii="Calibri" w:hAnsi="Calibri"/>
                <w:b w:val="0"/>
                <w:i w:val="0"/>
                <w:color w:val="1A2238"/>
                <w:sz w:val="16"/>
              </w:rPr>
              <w:t>6</w:t>
            </w:r>
          </w:p>
        </w:tc>
        <w:tc>
          <w:tcPr>
            <w:tcW w:type="dxa" w:w="1656"/>
          </w:tcPr>
          <w:p>
            <w:r>
              <w:rPr>
                <w:rFonts w:ascii="Calibri" w:hAnsi="Calibri"/>
                <w:b w:val="0"/>
                <w:i w:val="0"/>
                <w:color w:val="1A2238"/>
                <w:sz w:val="16"/>
              </w:rPr>
              <w:t>% del PBI</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Plan Perú 2040 - Comisión Educación</w:t>
            </w:r>
          </w:p>
        </w:tc>
      </w:tr>
      <w:tr>
        <w:tc>
          <w:tcPr>
            <w:tcW w:type="dxa" w:w="1656"/>
          </w:tcPr>
          <w:p>
            <w:r>
              <w:rPr>
                <w:rFonts w:ascii="Calibri" w:hAnsi="Calibri"/>
                <w:b/>
                <w:i w:val="0"/>
                <w:color w:val="1A2238"/>
                <w:sz w:val="16"/>
              </w:rPr>
              <w:t>Puntaje PISA - Media (Perú)</w:t>
            </w:r>
          </w:p>
        </w:tc>
        <w:tc>
          <w:tcPr>
            <w:tcW w:type="dxa" w:w="1656"/>
          </w:tcPr>
          <w:p>
            <w:r>
              <w:rPr>
                <w:rFonts w:ascii="Calibri" w:hAnsi="Calibri"/>
                <w:b w:val="0"/>
                <w:i w:val="0"/>
                <w:color w:val="1A2238"/>
                <w:sz w:val="16"/>
              </w:rPr>
              <w:t>368</w:t>
            </w:r>
          </w:p>
        </w:tc>
        <w:tc>
          <w:tcPr>
            <w:tcW w:type="dxa" w:w="1656"/>
          </w:tcPr>
          <w:p>
            <w:r>
              <w:rPr>
                <w:rFonts w:ascii="Calibri" w:hAnsi="Calibri"/>
                <w:b w:val="0"/>
                <w:i w:val="0"/>
                <w:color w:val="1A2238"/>
                <w:sz w:val="16"/>
              </w:rPr>
              <w:t>s/d</w:t>
            </w:r>
          </w:p>
        </w:tc>
        <w:tc>
          <w:tcPr>
            <w:tcW w:type="dxa" w:w="1656"/>
          </w:tcPr>
          <w:p>
            <w:r>
              <w:rPr>
                <w:rFonts w:ascii="Calibri" w:hAnsi="Calibri"/>
                <w:b w:val="0"/>
                <w:i w:val="0"/>
                <w:color w:val="1A2238"/>
                <w:sz w:val="16"/>
              </w:rPr>
              <w:t>puntos PISA</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OCDE, PISA 2009</w:t>
            </w:r>
          </w:p>
        </w:tc>
      </w:tr>
      <w:tr>
        <w:tc>
          <w:tcPr>
            <w:tcW w:type="dxa" w:w="1656"/>
          </w:tcPr>
          <w:p>
            <w:r>
              <w:rPr>
                <w:rFonts w:ascii="Calibri" w:hAnsi="Calibri"/>
                <w:b/>
                <w:i w:val="0"/>
                <w:color w:val="1A2238"/>
                <w:sz w:val="16"/>
              </w:rPr>
              <w:t>Puntaje PISA - Lectura (Perú)</w:t>
            </w:r>
          </w:p>
        </w:tc>
        <w:tc>
          <w:tcPr>
            <w:tcW w:type="dxa" w:w="1656"/>
          </w:tcPr>
          <w:p>
            <w:r>
              <w:rPr>
                <w:rFonts w:ascii="Calibri" w:hAnsi="Calibri"/>
                <w:b w:val="0"/>
                <w:i w:val="0"/>
                <w:color w:val="1A2238"/>
                <w:sz w:val="16"/>
              </w:rPr>
              <w:t>370</w:t>
            </w:r>
          </w:p>
        </w:tc>
        <w:tc>
          <w:tcPr>
            <w:tcW w:type="dxa" w:w="1656"/>
          </w:tcPr>
          <w:p>
            <w:r>
              <w:rPr>
                <w:rFonts w:ascii="Calibri" w:hAnsi="Calibri"/>
                <w:b w:val="0"/>
                <w:i w:val="0"/>
                <w:color w:val="1A2238"/>
                <w:sz w:val="16"/>
              </w:rPr>
              <w:t>s/d</w:t>
            </w:r>
          </w:p>
        </w:tc>
        <w:tc>
          <w:tcPr>
            <w:tcW w:type="dxa" w:w="1656"/>
          </w:tcPr>
          <w:p>
            <w:r>
              <w:rPr>
                <w:rFonts w:ascii="Calibri" w:hAnsi="Calibri"/>
                <w:b w:val="0"/>
                <w:i w:val="0"/>
                <w:color w:val="1A2238"/>
                <w:sz w:val="16"/>
              </w:rPr>
              <w:t>puntos PISA</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OCDE, PISA 2009</w:t>
            </w:r>
          </w:p>
        </w:tc>
      </w:tr>
      <w:tr>
        <w:tc>
          <w:tcPr>
            <w:tcW w:type="dxa" w:w="1656"/>
          </w:tcPr>
          <w:p>
            <w:r>
              <w:rPr>
                <w:rFonts w:ascii="Calibri" w:hAnsi="Calibri"/>
                <w:b/>
                <w:i w:val="0"/>
                <w:color w:val="1A2238"/>
                <w:sz w:val="16"/>
              </w:rPr>
              <w:t>Puntaje PISA - Matemáticas (Perú)</w:t>
            </w:r>
          </w:p>
        </w:tc>
        <w:tc>
          <w:tcPr>
            <w:tcW w:type="dxa" w:w="1656"/>
          </w:tcPr>
          <w:p>
            <w:r>
              <w:rPr>
                <w:rFonts w:ascii="Calibri" w:hAnsi="Calibri"/>
                <w:b w:val="0"/>
                <w:i w:val="0"/>
                <w:color w:val="1A2238"/>
                <w:sz w:val="16"/>
              </w:rPr>
              <w:t>365</w:t>
            </w:r>
          </w:p>
        </w:tc>
        <w:tc>
          <w:tcPr>
            <w:tcW w:type="dxa" w:w="1656"/>
          </w:tcPr>
          <w:p>
            <w:r>
              <w:rPr>
                <w:rFonts w:ascii="Calibri" w:hAnsi="Calibri"/>
                <w:b w:val="0"/>
                <w:i w:val="0"/>
                <w:color w:val="1A2238"/>
                <w:sz w:val="16"/>
              </w:rPr>
              <w:t>s/d</w:t>
            </w:r>
          </w:p>
        </w:tc>
        <w:tc>
          <w:tcPr>
            <w:tcW w:type="dxa" w:w="1656"/>
          </w:tcPr>
          <w:p>
            <w:r>
              <w:rPr>
                <w:rFonts w:ascii="Calibri" w:hAnsi="Calibri"/>
                <w:b w:val="0"/>
                <w:i w:val="0"/>
                <w:color w:val="1A2238"/>
                <w:sz w:val="16"/>
              </w:rPr>
              <w:t>puntos PISA</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OCDE, PISA 2009</w:t>
            </w:r>
          </w:p>
        </w:tc>
      </w:tr>
      <w:tr>
        <w:tc>
          <w:tcPr>
            <w:tcW w:type="dxa" w:w="1656"/>
          </w:tcPr>
          <w:p>
            <w:r>
              <w:rPr>
                <w:rFonts w:ascii="Calibri" w:hAnsi="Calibri"/>
                <w:b/>
                <w:i w:val="0"/>
                <w:color w:val="1A2238"/>
                <w:sz w:val="16"/>
              </w:rPr>
              <w:t>Puntaje PISA - Ciencias (Perú)</w:t>
            </w:r>
          </w:p>
        </w:tc>
        <w:tc>
          <w:tcPr>
            <w:tcW w:type="dxa" w:w="1656"/>
          </w:tcPr>
          <w:p>
            <w:r>
              <w:rPr>
                <w:rFonts w:ascii="Calibri" w:hAnsi="Calibri"/>
                <w:b w:val="0"/>
                <w:i w:val="0"/>
                <w:color w:val="1A2238"/>
                <w:sz w:val="16"/>
              </w:rPr>
              <w:t>369</w:t>
            </w:r>
          </w:p>
        </w:tc>
        <w:tc>
          <w:tcPr>
            <w:tcW w:type="dxa" w:w="1656"/>
          </w:tcPr>
          <w:p>
            <w:r>
              <w:rPr>
                <w:rFonts w:ascii="Calibri" w:hAnsi="Calibri"/>
                <w:b w:val="0"/>
                <w:i w:val="0"/>
                <w:color w:val="1A2238"/>
                <w:sz w:val="16"/>
              </w:rPr>
              <w:t>s/d</w:t>
            </w:r>
          </w:p>
        </w:tc>
        <w:tc>
          <w:tcPr>
            <w:tcW w:type="dxa" w:w="1656"/>
          </w:tcPr>
          <w:p>
            <w:r>
              <w:rPr>
                <w:rFonts w:ascii="Calibri" w:hAnsi="Calibri"/>
                <w:b w:val="0"/>
                <w:i w:val="0"/>
                <w:color w:val="1A2238"/>
                <w:sz w:val="16"/>
              </w:rPr>
              <w:t>puntos PISA</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OCDE, PISA 2009</w:t>
            </w:r>
          </w:p>
        </w:tc>
      </w:tr>
      <w:tr>
        <w:tc>
          <w:tcPr>
            <w:tcW w:type="dxa" w:w="1656"/>
          </w:tcPr>
          <w:p>
            <w:r>
              <w:rPr>
                <w:rFonts w:ascii="Calibri" w:hAnsi="Calibri"/>
                <w:b/>
                <w:i w:val="0"/>
                <w:color w:val="1A2238"/>
                <w:sz w:val="16"/>
              </w:rPr>
              <w:t>Instituciones peruanas entre las 2,124 de mejor calidad en investigación del mundo</w:t>
            </w:r>
          </w:p>
        </w:tc>
        <w:tc>
          <w:tcPr>
            <w:tcW w:type="dxa" w:w="1656"/>
          </w:tcPr>
          <w:p>
            <w:r>
              <w:rPr>
                <w:rFonts w:ascii="Calibri" w:hAnsi="Calibri"/>
                <w:b w:val="0"/>
                <w:i w:val="0"/>
                <w:color w:val="1A2238"/>
                <w:sz w:val="16"/>
              </w:rPr>
              <w:t>1</w:t>
            </w:r>
          </w:p>
        </w:tc>
        <w:tc>
          <w:tcPr>
            <w:tcW w:type="dxa" w:w="1656"/>
          </w:tcPr>
          <w:p>
            <w:r>
              <w:rPr>
                <w:rFonts w:ascii="Calibri" w:hAnsi="Calibri"/>
                <w:b w:val="0"/>
                <w:i w:val="0"/>
                <w:color w:val="1A2238"/>
                <w:sz w:val="16"/>
              </w:rPr>
              <w:t>s/d</w:t>
            </w:r>
          </w:p>
        </w:tc>
        <w:tc>
          <w:tcPr>
            <w:tcW w:type="dxa" w:w="1656"/>
          </w:tcPr>
          <w:p>
            <w:r>
              <w:rPr>
                <w:rFonts w:ascii="Calibri" w:hAnsi="Calibri"/>
                <w:b w:val="0"/>
                <w:i w:val="0"/>
                <w:color w:val="1A2238"/>
                <w:sz w:val="16"/>
              </w:rPr>
              <w:t>instituciones</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Plan Perú 2040 - Comisión Educación</w:t>
            </w:r>
          </w:p>
        </w:tc>
      </w:tr>
      <w:tr>
        <w:tc>
          <w:tcPr>
            <w:tcW w:type="dxa" w:w="1656"/>
          </w:tcPr>
          <w:p>
            <w:r>
              <w:rPr>
                <w:rFonts w:ascii="Calibri" w:hAnsi="Calibri"/>
                <w:b/>
                <w:i w:val="0"/>
                <w:color w:val="1A2238"/>
                <w:sz w:val="16"/>
              </w:rPr>
              <w:t>Ingreso mensual relativo de la población trabajadora con posgrado universitario (base 1.00 = primaria incompleta)</w:t>
            </w:r>
          </w:p>
        </w:tc>
        <w:tc>
          <w:tcPr>
            <w:tcW w:type="dxa" w:w="1656"/>
          </w:tcPr>
          <w:p>
            <w:r>
              <w:rPr>
                <w:rFonts w:ascii="Calibri" w:hAnsi="Calibri"/>
                <w:b w:val="0"/>
                <w:i w:val="0"/>
                <w:color w:val="1A2238"/>
                <w:sz w:val="16"/>
              </w:rPr>
              <w:t>13.36</w:t>
            </w:r>
          </w:p>
        </w:tc>
        <w:tc>
          <w:tcPr>
            <w:tcW w:type="dxa" w:w="1656"/>
          </w:tcPr>
          <w:p>
            <w:r>
              <w:rPr>
                <w:rFonts w:ascii="Calibri" w:hAnsi="Calibri"/>
                <w:b w:val="0"/>
                <w:i w:val="0"/>
                <w:color w:val="1A2238"/>
                <w:sz w:val="16"/>
              </w:rPr>
              <w:t>s/d</w:t>
            </w:r>
          </w:p>
        </w:tc>
        <w:tc>
          <w:tcPr>
            <w:tcW w:type="dxa" w:w="1656"/>
          </w:tcPr>
          <w:p>
            <w:r>
              <w:rPr>
                <w:rFonts w:ascii="Calibri" w:hAnsi="Calibri"/>
                <w:b w:val="0"/>
                <w:i w:val="0"/>
                <w:color w:val="1A2238"/>
                <w:sz w:val="16"/>
              </w:rPr>
              <w:t>veces (base primaria incompleta = 1.00)</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ENAHO 2002</w:t>
            </w:r>
          </w:p>
        </w:tc>
      </w:tr>
      <w:tr>
        <w:tc>
          <w:tcPr>
            <w:tcW w:type="dxa" w:w="1656"/>
          </w:tcPr>
          <w:p>
            <w:r>
              <w:rPr>
                <w:rFonts w:ascii="Calibri" w:hAnsi="Calibri"/>
                <w:b/>
                <w:i w:val="0"/>
                <w:color w:val="1A2238"/>
                <w:sz w:val="16"/>
              </w:rPr>
              <w:t>Ingreso mensual relativo de la población trabajadora con educación universitaria completa (base 1.00 = primaria incompleta)</w:t>
            </w:r>
          </w:p>
        </w:tc>
        <w:tc>
          <w:tcPr>
            <w:tcW w:type="dxa" w:w="1656"/>
          </w:tcPr>
          <w:p>
            <w:r>
              <w:rPr>
                <w:rFonts w:ascii="Calibri" w:hAnsi="Calibri"/>
                <w:b w:val="0"/>
                <w:i w:val="0"/>
                <w:color w:val="1A2238"/>
                <w:sz w:val="16"/>
              </w:rPr>
              <w:t>4.25</w:t>
            </w:r>
          </w:p>
        </w:tc>
        <w:tc>
          <w:tcPr>
            <w:tcW w:type="dxa" w:w="1656"/>
          </w:tcPr>
          <w:p>
            <w:r>
              <w:rPr>
                <w:rFonts w:ascii="Calibri" w:hAnsi="Calibri"/>
                <w:b w:val="0"/>
                <w:i w:val="0"/>
                <w:color w:val="1A2238"/>
                <w:sz w:val="16"/>
              </w:rPr>
              <w:t>s/d</w:t>
            </w:r>
          </w:p>
        </w:tc>
        <w:tc>
          <w:tcPr>
            <w:tcW w:type="dxa" w:w="1656"/>
          </w:tcPr>
          <w:p>
            <w:r>
              <w:rPr>
                <w:rFonts w:ascii="Calibri" w:hAnsi="Calibri"/>
                <w:b w:val="0"/>
                <w:i w:val="0"/>
                <w:color w:val="1A2238"/>
                <w:sz w:val="16"/>
              </w:rPr>
              <w:t>veces (base primaria incompleta = 1.00)</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ENAHO 2002</w:t>
            </w:r>
          </w:p>
        </w:tc>
      </w:tr>
    </w:tbl>
    <w:p>
      <w:r>
        <w:rPr>
          <w:rFonts w:ascii="Calibri" w:hAnsi="Calibri"/>
          <w:b/>
          <w:i w:val="0"/>
          <w:color w:val="D91023"/>
          <w:sz w:val="26"/>
        </w:rPr>
        <w:t>VII · Articulación con el Acuerdo Nacional y el PEDN al 2050</w:t>
      </w:r>
    </w:p>
    <w:p>
      <w:pPr>
        <w:pStyle w:val="ListBullet"/>
      </w:pPr>
      <w:r>
        <w:rPr>
          <w:rFonts w:ascii="Calibri" w:hAnsi="Calibri"/>
          <w:b w:val="0"/>
          <w:i w:val="0"/>
          <w:color w:val="1A2238"/>
          <w:sz w:val="21"/>
        </w:rPr>
        <w:t>Acuerdo Nacional: la propuesta confluye plenamente con las 31 políticas de Estado, agrupadas en cuatro objetivos: Fortalecimiento de la Democracia y Estado de Derecho; Desarrollo con Equidad y Justicia Social; Promoción de la Competitividad del País; y Afirmación de un Estado Eficiente, Transparente y Descentralizado.</w:t>
      </w:r>
    </w:p>
    <w:p>
      <w:pPr>
        <w:pStyle w:val="ListBullet"/>
      </w:pPr>
      <w:r>
        <w:rPr>
          <w:rFonts w:ascii="Calibri" w:hAnsi="Calibri"/>
          <w:b w:val="0"/>
          <w:i w:val="0"/>
          <w:color w:val="1A2238"/>
          <w:sz w:val="21"/>
        </w:rPr>
        <w:t>Acuerdo Nacional (objetivos 1, 2 y 4): confluyen con el primer objetivo social de la propuesta (proceso educativo que fortalezca el carácter del educando para el ejercicio de la equidad).</w:t>
      </w:r>
    </w:p>
    <w:p>
      <w:pPr>
        <w:pStyle w:val="ListBullet"/>
      </w:pPr>
      <w:r>
        <w:rPr>
          <w:rFonts w:ascii="Calibri" w:hAnsi="Calibri"/>
          <w:b w:val="0"/>
          <w:i w:val="0"/>
          <w:color w:val="1A2238"/>
          <w:sz w:val="21"/>
        </w:rPr>
        <w:t>Acuerdo Nacional (objetivo 3, 'Promoción de la competitividad del país'): confluye con el segundo objetivo económico de la propuesta (educación para la práctica emprendedora).</w:t>
      </w:r>
    </w:p>
    <w:p>
      <w:pPr>
        <w:pStyle w:val="ListBullet"/>
      </w:pPr>
      <w:r>
        <w:rPr>
          <w:rFonts w:ascii="Calibri" w:hAnsi="Calibri"/>
          <w:b w:val="0"/>
          <w:i w:val="0"/>
          <w:color w:val="1A2238"/>
          <w:sz w:val="21"/>
        </w:rPr>
        <w:t>CEPLAN / PEDN - Plan Bicentenario Perú 2021: alineamiento con los seis ejes estratégicos (Derechos fundamentales y dignidad de las personas; Oportunidades y acceso a los servicios; Estado y gobernabilidad; Economía, competitividad y empleo; Desarrollo regional equilibrado e infraestructura; Recursos naturales y ambiente).</w:t>
      </w:r>
    </w:p>
    <w:p>
      <w:pPr>
        <w:pStyle w:val="ListBullet"/>
      </w:pPr>
      <w:r>
        <w:rPr>
          <w:rFonts w:ascii="Calibri" w:hAnsi="Calibri"/>
          <w:b w:val="0"/>
          <w:i w:val="0"/>
          <w:color w:val="1A2238"/>
          <w:sz w:val="21"/>
        </w:rPr>
        <w:t>Proyecto Educativo Nacional al 2021 (PEN 2021): la prospectiva coincide con su visión y con sus seis objetivos (1. Oportunidades y resultados educativos de igual calidad para todos; 2. Estudiantes e instituciones que logran aprendizajes pertinentes y de calidad; 3. Maestros bien preparados que ejercen profesionalmente la docencia; 4. Gestión descentralizada, democrática y financiada con equidad; 5. Educación superior de calidad como factor para el desarrollo y la competitividad; 6. Una sociedad que educa a sus ciudadanos y los compromete con su comunidad).</w:t>
      </w:r>
    </w:p>
    <w:p>
      <w:r>
        <w:rPr>
          <w:rFonts w:ascii="Calibri" w:hAnsi="Calibri"/>
          <w:b/>
          <w:i w:val="0"/>
          <w:color w:val="D91023"/>
          <w:sz w:val="26"/>
        </w:rPr>
        <w:t>Pilares de la estrategia</w:t>
      </w:r>
    </w:p>
    <w:p>
      <w:r>
        <w:rPr>
          <w:rFonts w:ascii="Calibri" w:hAnsi="Calibri"/>
          <w:b/>
          <w:i w:val="0"/>
          <w:color w:val="1A2238"/>
          <w:sz w:val="21"/>
        </w:rPr>
        <w:t xml:space="preserve">Equidad (aprender a vivir juntos): </w:t>
      </w:r>
      <w:r>
        <w:rPr>
          <w:rFonts w:ascii="Calibri" w:hAnsi="Calibri"/>
          <w:b w:val="0"/>
          <w:i w:val="0"/>
          <w:color w:val="1A2238"/>
          <w:sz w:val="21"/>
        </w:rPr>
        <w:t>Educación para la democracia, gobernabilidad y concertación social, que fortalece la capacidad del cerebro para comprometerse con la equidad y formar el capital social e institucional.</w:t>
      </w:r>
    </w:p>
    <w:p>
      <w:r>
        <w:rPr>
          <w:rFonts w:ascii="Calibri" w:hAnsi="Calibri"/>
          <w:b/>
          <w:i w:val="0"/>
          <w:color w:val="1A2238"/>
          <w:sz w:val="21"/>
        </w:rPr>
        <w:t xml:space="preserve">Emprendimiento (aprender a hacer): </w:t>
      </w:r>
      <w:r>
        <w:rPr>
          <w:rFonts w:ascii="Calibri" w:hAnsi="Calibri"/>
          <w:b w:val="0"/>
          <w:i w:val="0"/>
          <w:color w:val="1A2238"/>
          <w:sz w:val="21"/>
        </w:rPr>
        <w:t>Educación para la generación de nueva riqueza, creatividad e innovación como camino para superar la pobreza y formar el capital físico y financiero productivo.</w:t>
      </w:r>
    </w:p>
    <w:p>
      <w:r>
        <w:rPr>
          <w:rFonts w:ascii="Calibri" w:hAnsi="Calibri"/>
          <w:b/>
          <w:i w:val="0"/>
          <w:color w:val="1A2238"/>
          <w:sz w:val="21"/>
        </w:rPr>
        <w:t xml:space="preserve">Solidaridad (aprender a vivir con los otros): </w:t>
      </w:r>
      <w:r>
        <w:rPr>
          <w:rFonts w:ascii="Calibri" w:hAnsi="Calibri"/>
          <w:b w:val="0"/>
          <w:i w:val="0"/>
          <w:color w:val="1A2238"/>
          <w:sz w:val="21"/>
        </w:rPr>
        <w:t>Educación para el cuidado y promoción del medio ambiente, con responsabilidad sobre lo biótico y no biótico y la formación del capital natural.</w:t>
      </w:r>
    </w:p>
    <w:p>
      <w:r>
        <w:rPr>
          <w:rFonts w:ascii="Calibri" w:hAnsi="Calibri"/>
          <w:b/>
          <w:i w:val="0"/>
          <w:color w:val="1A2238"/>
          <w:sz w:val="21"/>
        </w:rPr>
        <w:t xml:space="preserve">Verdad (aprender a conocer): </w:t>
      </w:r>
      <w:r>
        <w:rPr>
          <w:rFonts w:ascii="Calibri" w:hAnsi="Calibri"/>
          <w:b w:val="0"/>
          <w:i w:val="0"/>
          <w:color w:val="1A2238"/>
          <w:sz w:val="21"/>
        </w:rPr>
        <w:t>Educación para la toma de decisiones con vocación científica, creación y uso de tecnologías de la Era del Conocimiento y formación del capital intelectual.</w:t>
      </w:r>
    </w:p>
    <w:p>
      <w:r>
        <w:rPr>
          <w:rFonts w:ascii="Calibri" w:hAnsi="Calibri"/>
          <w:b/>
          <w:i w:val="0"/>
          <w:color w:val="1A2238"/>
          <w:sz w:val="21"/>
        </w:rPr>
        <w:t xml:space="preserve">Belleza (aprender a ser): </w:t>
      </w:r>
      <w:r>
        <w:rPr>
          <w:rFonts w:ascii="Calibri" w:hAnsi="Calibri"/>
          <w:b w:val="0"/>
          <w:i w:val="0"/>
          <w:color w:val="1A2238"/>
          <w:sz w:val="21"/>
        </w:rPr>
        <w:t>Educación para la armonía y perfección de la condición humana, orientada a la trascendencia y al desarrollo humano como deber y meta personal.</w:t>
      </w:r>
    </w:p>
    <w:p>
      <w:r>
        <w:rPr>
          <w:rFonts w:ascii="Calibri" w:hAnsi="Calibri"/>
          <w:b/>
          <w:i w:val="0"/>
          <w:color w:val="D91023"/>
          <w:sz w:val="26"/>
        </w:rPr>
        <w:t>Recomendación de política</w:t>
      </w:r>
    </w:p>
    <w:p>
      <w:r>
        <w:rPr>
          <w:rFonts w:ascii="Calibri" w:hAnsi="Calibri"/>
          <w:b w:val="0"/>
          <w:i w:val="0"/>
          <w:color w:val="1A2238"/>
          <w:sz w:val="21"/>
        </w:rPr>
        <w:t>Otorgar a la educación la misma prioridad que a la economía y las finanzas, elevando el presupuesto al 6% del PBI y creando un ente rector de I+D educativa (Núcleo Innovador) que articule los cuatro sistemas básicos (rector de I+D, gestión de procesos, ejecución desconcentrada y validación de resultados) bajo el principio de una "Sociedad Educadora" con responsabilidad compartida entre Estado, empresa, academia, familia y comunidad.</w:t>
      </w:r>
    </w:p>
    <w:p/>
    <w:p>
      <w:r>
        <w:rPr>
          <w:rFonts w:ascii="Calibri" w:hAnsi="Calibri"/>
          <w:b w:val="0"/>
          <w:i/>
          <w:color w:val="5D6B88"/>
          <w:sz w:val="15"/>
        </w:rPr>
        <w:t>Documento potenciado a partir de la redacción de la comisión. Las cifras provienen del documento fuente y están sujetas a validación oficial. La silueta territorial es referencial.</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