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Orden Público y Seguridad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Soberanía y Defensa</w:t>
      </w:r>
    </w:p>
    <w:p>
      <w:r>
        <w:rPr>
          <w:rFonts w:ascii="Calibri" w:hAnsi="Calibri"/>
          <w:b w:val="0"/>
          <w:i w:val="0"/>
          <w:color w:val="1A2238"/>
          <w:sz w:val="23"/>
        </w:rPr>
        <w:t>El Plan Nacional de Seguridad y Orden Interno del Perú al 2050 es un instrumento de planeamiento estratégico de largo plazo (horizonte 2026-2050), orientado a resultados y basado en prospectiva estratégica, enfoque de sistemas y gobernanza multinivel. Adopta el paradigma de la "seguridad multifocal" y propone construir un "Estado Estratégico de Seguridad" para recuperar el control territorial, desarticular economías criminales, fortalecer la gobernabilidad democrática, modernizar instituciones e implementar inteligencia predictiva nacional. El modelo de referencia es el "Sistema Integral de Seguridad Multinivel" con cinco componentes: prevención social, control territorial, inteligencia estratégica, sistema de justicia y gobernanza.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3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5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5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Objetivos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—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Contenido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futura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actual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III.  </w:t>
      </w:r>
      <w:r>
        <w:rPr>
          <w:rFonts w:ascii="Calibri" w:hAnsi="Calibri"/>
          <w:b w:val="0"/>
          <w:i w:val="0"/>
          <w:color w:val="1A2238"/>
          <w:sz w:val="20"/>
        </w:rPr>
        <w:t>Objetivos estratégicos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IV.  </w:t>
      </w:r>
      <w:r>
        <w:rPr>
          <w:rFonts w:ascii="Calibri" w:hAnsi="Calibri"/>
          <w:b w:val="0"/>
          <w:i w:val="0"/>
          <w:color w:val="1A2238"/>
          <w:sz w:val="20"/>
        </w:rPr>
        <w:t>Acciones estratégicas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V.  </w:t>
      </w:r>
      <w:r>
        <w:rPr>
          <w:rFonts w:ascii="Calibri" w:hAnsi="Calibri"/>
          <w:b w:val="0"/>
          <w:i w:val="0"/>
          <w:color w:val="1A2238"/>
          <w:sz w:val="20"/>
        </w:rPr>
        <w:t>Matriz resumen (indicadores)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VI.  </w:t>
      </w:r>
      <w:r>
        <w:rPr>
          <w:rFonts w:ascii="Calibri" w:hAnsi="Calibri"/>
          <w:b w:val="0"/>
          <w:i w:val="0"/>
          <w:color w:val="1A2238"/>
          <w:sz w:val="20"/>
        </w:rPr>
        <w:t>Hitos de los primeros 100 días de Gobierno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VII.  </w:t>
      </w:r>
      <w:r>
        <w:rPr>
          <w:rFonts w:ascii="Calibri" w:hAnsi="Calibri"/>
          <w:b w:val="0"/>
          <w:i w:val="0"/>
          <w:color w:val="1A2238"/>
          <w:sz w:val="20"/>
        </w:rPr>
        <w:t>Articulación con el Acuerdo Nacional y el PEDN al 2050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VIII.  </w:t>
      </w:r>
      <w:r>
        <w:rPr>
          <w:rFonts w:ascii="Calibri" w:hAnsi="Calibri"/>
          <w:b w:val="0"/>
          <w:i w:val="0"/>
          <w:color w:val="1A2238"/>
          <w:sz w:val="20"/>
        </w:rPr>
        <w:t>Articulación con los Programas Presupuestales</w:t>
      </w:r>
    </w:p>
    <w:p>
      <w:r>
        <w:rPr>
          <w:rFonts w:ascii="Calibri" w:hAnsi="Calibri"/>
          <w:b/>
          <w:i w:val="0"/>
          <w:color w:val="D91023"/>
          <w:sz w:val="26"/>
        </w:rPr>
        <w:t>I · Síntesis de la situación futura</w:t>
      </w:r>
    </w:p>
    <w:p>
      <w:r>
        <w:rPr>
          <w:rFonts w:ascii="Calibri" w:hAnsi="Calibri"/>
          <w:b w:val="0"/>
          <w:i w:val="0"/>
          <w:color w:val="1A2238"/>
          <w:sz w:val="21"/>
        </w:rPr>
        <w:t>El escenario deseado al 2050 ("Estado estratégico de seguridad") proyecta un Perú con control efectivo del territorio nacional, inteligencia predictiva avanzada, instituciones modernas y transparentes, alta legitimidad democrática, reducción significativa de la criminalidad, interoperabilidad total del sistema de seguridad, prevención estratégica basada en datos y gobernanza multinivel eficiente. En este escenario el Estado peruano posee capacidad anticipatoria, resiliencia institucional y control estratégico de amenazas complejas, consolidando la seguridad como condición esencial para el desarrollo nacional sostenible al año 2050. El impacto esperado: en el largo plazo (al 2050), estabilidad del orden interno, alta confianza ciudadana en las instituciones y seguridad como condición estructural del desarrollo; en el mediano plazo (al 2040), consolidación del sistema integrado de seguridad y reducción sostenida de la criminalidad organizada.</w:t>
      </w:r>
    </w:p>
    <w:p>
      <w:r>
        <w:rPr>
          <w:rFonts w:ascii="Calibri" w:hAnsi="Calibri"/>
          <w:b/>
          <w:i w:val="0"/>
          <w:color w:val="D91023"/>
          <w:sz w:val="26"/>
        </w:rPr>
        <w:t>II · Síntesis de la situación actual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El problema público central es la alta inseguridad ciudadana y el progresivo debilitamiento del orden interno, que afecta la gobernabilidad democrática, la estabilidad institucional, el desarrollo económico y la calidad de vida de la población.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Expansión del crimen organizado hacia estructuras sofisticadas, con capacidad económica, tecnológica y logística para infiltrar instituciones, controlar territorios y articular economías ilegales de gran escala (narcotráfico, minería ilegal, trata de personas, tráfico ilícito de migrantes, extorsión, sicariato, contrabando, lavado de activos, corrupción, ciberdelincuencia).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Debilidad institucional: instituciones fragmentadas, baja capacidad operativa, escasa coordinación interinstitucional y ausencia de planeamiento estratégico.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Corrupción sistémica que debilita a la Policía, la Justicia, la gestión pública y el control territorial, facilitando la expansión del crimen organizado.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Pobreza y exclusión social que generan vulnerabilidad criminal, reclutamiento por mafias, violencia urbana y fragmentación social.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Deficiente administración de justicia: lentitud procesal, impunidad, sobrepoblación penitenciaria y baja capacidad fiscal.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Débil cultura de planeamiento: improvisación, reacción coyuntural, políticas discontinuas y escasa visión de largo plazo.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Baja inversión en seguridad, con infraestructura deficiente, falta de tecnología, baja capacidad de inteligencia e insuficiente modernización policial.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Urbanización desordenada que expande zonas vulnerables, debilita el control territorial e incrementa la criminalidad urbana.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Escasa participación ciudadana, débil cultura cívica y pérdida progresiva de confianza ciudadana en el Estado.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Incremento de delitos violentos: homicidios, sicariato, extorsión, secuestro, robos agravados, violencia sexual, violencia contra mujeres y menores, y crimen armado urbano.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Variables de resultado a evaluar: reducción de homicidios, control territorial, reducción de economías ilegales, confianza institucional y reducción de victimización.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Zonas críticas identificadas: narcotráfico en VRAEM, fronteras amazónicas y corredores fluviales; minería ilegal en Madre de Dios, Puno, La Libertad, Arequipa y Amazonas; extorsión en Lima, La Libertad, Trujillo, Chiclayo y Callao.</w:t>
      </w:r>
    </w:p>
    <w:p>
      <w:r>
        <w:rPr>
          <w:rFonts w:ascii="Calibri" w:hAnsi="Calibri"/>
          <w:b/>
          <w:i w:val="0"/>
          <w:color w:val="D91023"/>
          <w:sz w:val="26"/>
        </w:rPr>
        <w:t>III · Objetivos estratégicos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Reducir la violencia criminal en la población (homicidios, delitos violentos, extorsión, sicariato y violencia organizada).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Recuperar el control territorial del Estado, garantizando presencia efectiva y legítima en todo el territorio nacional, neutralizando el control criminal, fortaleciendo la soberanía interna, recuperando espacios públicos y controlando fronteras.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Desarticular las economías criminales vinculadas a narcotráfico, minería ilegal, trata de personas, lavado de activos y contrabando, reduciendo su capacidad financiera y operativa.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Fortalecer la confianza ciudadana mediante transparencia, resultados efectivos, reducción de corrupción, mejora de servicios públicos y participación ciudadana.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Implementar inteligencia predictiva nacional, transformando el sistema hacia un modelo preventivo y anticipatorio mediante analítica avanzada, integración de datos, inteligencia artificial, sistemas predictivos e interoperabilidad nacional.</w:t>
      </w:r>
    </w:p>
    <w:p>
      <w:r>
        <w:rPr>
          <w:rFonts w:ascii="Calibri" w:hAnsi="Calibri"/>
          <w:b/>
          <w:i w:val="0"/>
          <w:color w:val="D91023"/>
          <w:sz w:val="26"/>
        </w:rPr>
        <w:t>IV · Acciones estratégicas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Producción - Patrullaje inteligente integrado: modernizar las operaciones policiales mediante georreferenciación del delito, inteligencia predictiva, vigilancia digital y patrullaje interoperable.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Producción - Centros de comando y control: coordinación en tiempo real entre instituciones mediante plataformas integradas de monitoreo y respuesta.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Inversión - Infraestructura policial: comisarías modernas, centros de inteligencia, infraestructura fronteriza y equipamiento táctico.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Inversión - Tecnología avanzada: inteligencia artificial, analítica de datos, drones, videovigilancia inteligente y sistemas biométricos.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Regulación - Reformas contra el crimen organizado: fortalecer la extinción de dominio, la inteligencia financiera, la cooperación internacional y el procesamiento especializado.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Regulación - Normativa de control territorial: fortalecer la intervención estatal en zonas vulnerables y estratégicas.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Distribución - Programas sociales focalizados: dirigidos a territorios con alta vulnerabilidad criminal y exclusión social.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Distribución - Incentivos territoriales: promover el desarrollo económico y la formalización en zonas críticas.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Orientación estratégica - Campañas de cultura de legalidad: promover el respeto a la ley, la convivencia democrática y la prevención social.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Orientación estratégica - Estrategias de legitimidad institucional: recuperar la confianza ciudadana mediante transparencia y resultados.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Ruta estratégica priorizada: (1) control territorial, (2) inteligencia, (3) crimen organizado, (4) seguridad urbana y (5) prevención social.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Responsables: seguridad operativa (Ministerio del Interior / PNP), inteligencia (Sistema de Inteligencia Nacional), justicia (Ministerio Público / Poder Judicial), prevención (gobiernos regionales y locales).</w:t>
      </w:r>
    </w:p>
    <w:p>
      <w:r>
        <w:rPr>
          <w:rFonts w:ascii="Calibri" w:hAnsi="Calibri"/>
          <w:b/>
          <w:i w:val="0"/>
          <w:color w:val="D91023"/>
          <w:sz w:val="26"/>
        </w:rPr>
        <w:t>V · Matriz resumen — 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Tasa de homicidios (reducción respecto de línea base)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-80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 variación respecto a línea base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 xml:space="preserve">Matriz de indicadores y metas (6.3) - Plan Nacional de Seguridad y Orden Interno del Perú 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Porcentaje de territorio controlado por el Estado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del territorio nacional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 xml:space="preserve">Matriz de indicadores y metas (6.3) - Plan Nacional de Seguridad y Orden Interno del Perú 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Percepción positiva de seguridad ciudadana (incremento respecto de línea base)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 incremento respecto a línea base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 xml:space="preserve">Matriz de indicadores y metas (6.3) - Plan Nacional de Seguridad y Orden Interno del Perú 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 · Hitos de los primeros 100 días de Gobierno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Reducción significativa de delitos en zonas críticas (impacto esperado de corto plazo al 2030).</w:t>
      </w:r>
      <w:r>
        <w:rPr>
          <w:rFonts w:ascii="Calibri" w:hAnsi="Calibri"/>
          <w:b w:val="0"/>
          <w:i/>
          <w:color w:val="B8840E"/>
          <w:sz w:val="17"/>
        </w:rPr>
        <w:t xml:space="preserve">  [Resultado de corto plazo]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Mayor presencia y control territorial del Estado (impacto esperado de corto plazo al 2030).</w:t>
      </w:r>
      <w:r>
        <w:rPr>
          <w:rFonts w:ascii="Calibri" w:hAnsi="Calibri"/>
          <w:b w:val="0"/>
          <w:i/>
          <w:color w:val="B8840E"/>
          <w:sz w:val="17"/>
        </w:rPr>
        <w:t xml:space="preserve">  [Resultado de corto plazo]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Conformación de la Comisión Nacional de Seguridad y Orden Interno 2050 como órgano técnico, estratégico y multisectorial para conducir la formulación, validación y seguimiento del plan.</w:t>
      </w:r>
      <w:r>
        <w:rPr>
          <w:rFonts w:ascii="Calibri" w:hAnsi="Calibri"/>
          <w:b w:val="0"/>
          <w:i/>
          <w:color w:val="B8840E"/>
          <w:sz w:val="17"/>
        </w:rPr>
        <w:t xml:space="preserve">  [Arreglo institucional]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Creación del Fondo Nacional Estratégico de Seguridad y Orden Interno (FONASEG) a través del Ministerio de Economía y Finanzas para financiar modernización policial, inteligencia estratégica, ciberseguridad e infraestructura crítica.</w:t>
      </w:r>
      <w:r>
        <w:rPr>
          <w:rFonts w:ascii="Calibri" w:hAnsi="Calibri"/>
          <w:b w:val="0"/>
          <w:i/>
          <w:color w:val="B8840E"/>
          <w:sz w:val="17"/>
        </w:rPr>
        <w:t xml:space="preserve">  [Financiamiento]</w:t>
      </w:r>
    </w:p>
    <w:p>
      <w:r>
        <w:rPr>
          <w:rFonts w:ascii="Calibri" w:hAnsi="Calibri"/>
          <w:b/>
          <w:i w:val="0"/>
          <w:color w:val="D91023"/>
          <w:sz w:val="26"/>
        </w:rPr>
        <w:t>VII · Articulación con el Acuerdo Nacional y el PEDN al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Plan Estratégico de Desarrollo Nacional al 2050 (PEDN), impulsado por el CEPLAN como instrumento orientador del desarrollo integral del país; la seguridad se entiende como condición habilitante para el desarrollo económico, la competitividad, la inclusión social, la gobernabilidad democrática, la inversión sostenible y el bienestar ciudadano.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Constitución Política del Perú, en particular el artículo 44 (deber primordial del Estado de garantizar la plena vigencia de los derechos humanos, proteger a la población de amenazas contra su seguridad y promover el bienestar general).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Sistema Nacional de Planeamiento Estratégico (SINAPLAN): articulación de objetivos nacionales, planeamiento estratégico sectorial, seguimiento de indicadores y evaluación de desempeño.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Lineamientos y metodologías del Centro Nacional de Planeamiento Estratégico (CEPLAN) sobre prospectiva estratégica y construcción de escenarios futuros.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Política Nacional de Modernización de la Gestión Pública (transformación digital, gestión por resultados, interoperabilidad y gobierno digital).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Enfoques de la OCDE sobre Estado Estratégico (visión de largo plazo, capacidad anticipatoria, gestión basada en evidencia y gobernanza colaborativa) y los Objetivos de Desarrollo Sostenible de las Naciones Unidas.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Marco normativo relevante: Código Penal, Ley de la Policía Nacional del Perú y las Políticas Nacionales de Seguridad Ciudadana.</w:t>
      </w:r>
    </w:p>
    <w:p>
      <w:r>
        <w:rPr>
          <w:rFonts w:ascii="Calibri" w:hAnsi="Calibri"/>
          <w:b/>
          <w:i w:val="0"/>
          <w:color w:val="D91023"/>
          <w:sz w:val="26"/>
        </w:rPr>
        <w:t>VIII · Articulación con los Programas Presupuestales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Incorporación anual del plan en el Presupuesto General de la República mediante el Presupuesto Institucional de Apertura (PIA) y el Presupuesto Institucional Modificado (PIM), a través de programas presupuestales estratégicos, categorías presupuestarias de seguridad y proyectos de inversión pública.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Formulación, por el Ministerio del Interior, de programas presupuestales específicos vinculados a control territorial, inteligencia estratégica, seguridad urbana, crimen organizado y prevención social.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Articulación de los programas con el SINAPLAN, el Presupuesto por Resultados y el planeamiento multianual; sustentación ante el MEF con análisis costo-beneficio, estudios técnicos, impacto económico y social, y evaluación de riesgos.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Presupuesto público progresivo y creación del Fondo Nacional Estratégico de Seguridad y Orden Interno (FONASEG) para financiar modernización policial, inteligencia estratégica, ciberseguridad, infraestructura crítica, centros de comando y control, control fronterizo, sistemas de IA, seguridad penitenciaria, tecnología de vigilancia y lucha contra el crimen organizado.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Gobiernos regionales: incorporación del financiamiento de seguridad en el Presupuesto Participativo, los Planes de Desarrollo Regional Concertado y la Programación Multianual de Inversiones (observatorios regionales de criminalidad, videovigilancia, seguridad fronteriza, prevención juvenil, serenazgo e inteligencia territorial), con recursos ordinarios, canon y sobrecanon, regalías, recursos directamente recaudados y transferencias del Gobierno Nacional.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Municipalidades provinciales y distritales: financiamiento de serenazgo, videovigilancia, recuperación de espacios públicos, patrullaje integrado, alarmas comunitarias, iluminación pública, programas preventivos juveniles, seguridad vial y fiscalización urbana, vía presupuesto participativo, POI, programación multianual, IOARR y proyectos de inversión pública.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Complemento con Asociaciones Público-Privadas (APP) y cooperación internacional como mecanismos de financiamiento.</w:t>
      </w:r>
    </w:p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Prevención social: </w:t>
      </w:r>
      <w:r>
        <w:rPr>
          <w:rFonts w:ascii="Calibri" w:hAnsi="Calibri"/>
          <w:b w:val="0"/>
          <w:i w:val="0"/>
          <w:color w:val="1A2238"/>
          <w:sz w:val="21"/>
        </w:rPr>
        <w:t>Intervención sobre las causas estructurales de la criminalidad (exclusión social, desigualdad, violencia familiar, deserción escolar, desempleo juvenil) para fortalecer cohesión social, recuperar espacios públicos y reducir la vulnerabilidad criminal.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Control territorial: </w:t>
      </w:r>
      <w:r>
        <w:rPr>
          <w:rFonts w:ascii="Calibri" w:hAnsi="Calibri"/>
          <w:b w:val="0"/>
          <w:i w:val="0"/>
          <w:color w:val="1A2238"/>
          <w:sz w:val="21"/>
        </w:rPr>
        <w:t>Presencia efectiva, permanente y legítima del Estado en todo el territorio mediante seguridad pública, administración de justicia, fiscalización, inteligencia territorial, control fronterizo inteligente y centros de comando y control.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Inteligencia estratégica: </w:t>
      </w:r>
      <w:r>
        <w:rPr>
          <w:rFonts w:ascii="Calibri" w:hAnsi="Calibri"/>
          <w:b w:val="0"/>
          <w:i w:val="0"/>
          <w:color w:val="1A2238"/>
          <w:sz w:val="21"/>
        </w:rPr>
        <w:t>Sistema nacional de inteligencia interoperable y preventivo que anticipa amenazas y desarrolla inteligencia predictiva mediante analítica de datos, inteligencia artificial, big data, georreferenciación criminal y ciberinteligencia.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Sistema de justicia: </w:t>
      </w:r>
      <w:r>
        <w:rPr>
          <w:rFonts w:ascii="Calibri" w:hAnsi="Calibri"/>
          <w:b w:val="0"/>
          <w:i w:val="0"/>
          <w:color w:val="1A2238"/>
          <w:sz w:val="21"/>
        </w:rPr>
        <w:t>Fortalecimiento de un sistema de justicia eficiente, transparente y especializado contra el crimen organizado, con transformación digital procesal, lucha contra la corrupción, protección de víctimas y testigos, coordinación fiscal-policial y reforma penitenciaria.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Gobernanza: </w:t>
      </w:r>
      <w:r>
        <w:rPr>
          <w:rFonts w:ascii="Calibri" w:hAnsi="Calibri"/>
          <w:b w:val="0"/>
          <w:i w:val="0"/>
          <w:color w:val="1A2238"/>
          <w:sz w:val="21"/>
        </w:rPr>
        <w:t>Componente articulador del Sistema Integral de Seguridad Multinivel: coordinación interinstitucional, participación ciudadana, gobernanza multinivel, transparencia, rendición de cuentas y continuidad estratégica más allá de los cambios gubernamentales.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El documento NO sigue la estructura oficial CNPP de nueve secciones (carece de hitos explícitos a 100 días, de líneas base cuantitativas y de una matriz resumen formal de indicadores con fuente y año meta); las metas se expresan solo en porcentajes de variación con línea base marcada como "X". Se recomienda: (1) completar la línea base real de cada indicador (tasa de homicidios actual, % de territorio controlado, % de percepción positiva) con fuente oficial (INEI/ENAPRES, SINADEF, Mininter); (2) construir una sección formal de "Hitos a 100 días" con acciones concretas y verificables, ya que actualmente solo existen impactos esperados al 2030/2040/2050; y (3) explicitar la articulación con los objetivos nacionales numerados del PEDN 2050 y con códigos de programas presupuestales vigentes (p. ej. PP 0030 Seguridad Ciudadana), en lugar de referencias genéricas.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