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B8840E"/>
          <w:sz w:val="20"/>
        </w:rPr>
        <w:t>PLAN PERÚ 2050  ·  PRIMER INFORME</w:t>
      </w:r>
    </w:p>
    <w:p>
      <w:pPr>
        <w:spacing w:after="40" w:before="0"/>
      </w:pPr>
      <w:r>
        <w:rPr>
          <w:b/>
          <w:i w:val="0"/>
          <w:color w:val="D91023"/>
          <w:sz w:val="46"/>
        </w:rPr>
        <w:t>Primer Informe de avance de la plataforma digital</w:t>
      </w:r>
    </w:p>
    <w:p>
      <w:pPr>
        <w:spacing w:after="360" w:before="0"/>
      </w:pPr>
      <w:r>
        <w:rPr>
          <w:b w:val="0"/>
          <w:i w:val="0"/>
          <w:color w:val="5D6B88"/>
          <w:sz w:val="24"/>
        </w:rPr>
        <w:t>Comisiones Temáticas Nacionales · CNPP — Colegio de Ingenieros del Perú</w:t>
      </w:r>
    </w:p>
    <w:p>
      <w:pPr>
        <w:spacing w:after="20" w:before="0"/>
      </w:pPr>
      <w:r>
        <w:rPr>
          <w:b/>
          <w:i w:val="0"/>
          <w:color w:val="1A2238"/>
          <w:sz w:val="22"/>
        </w:rPr>
        <w:t>Informe N°: 1 (de 3)</w:t>
      </w:r>
    </w:p>
    <w:p>
      <w:pPr>
        <w:spacing w:after="20" w:before="0"/>
      </w:pPr>
      <w:r>
        <w:rPr>
          <w:b/>
          <w:i w:val="0"/>
          <w:color w:val="1A2238"/>
          <w:sz w:val="22"/>
        </w:rPr>
        <w:t>Fecha: 21 de julio de 2026</w:t>
      </w:r>
    </w:p>
    <w:p>
      <w:pPr>
        <w:spacing w:after="20" w:before="0"/>
      </w:pPr>
      <w:r>
        <w:rPr>
          <w:b w:val="0"/>
          <w:i w:val="0"/>
          <w:color w:val="1A2238"/>
          <w:sz w:val="22"/>
        </w:rPr>
        <w:t>Elaborado por: Ing. Carlos Cárdenas Fernández</w:t>
      </w:r>
    </w:p>
    <w:p>
      <w:pPr>
        <w:spacing w:after="20" w:before="0"/>
      </w:pPr>
      <w:r>
        <w:rPr>
          <w:b w:val="0"/>
          <w:i w:val="0"/>
          <w:color w:val="1A2238"/>
          <w:sz w:val="22"/>
        </w:rPr>
        <w:t>Dirigido a: Ing. Tellys Paucar y equipo técnico del Plan Perú 2050 — CNPP / Colegio de Ingenieros del Perú</w:t>
      </w:r>
    </w:p>
    <w:p>
      <w:pPr>
        <w:spacing w:after="320" w:before="0"/>
      </w:pPr>
      <w:r>
        <w:rPr>
          <w:b w:val="0"/>
          <w:i w:val="0"/>
          <w:color w:val="B8840E"/>
          <w:sz w:val="22"/>
        </w:rPr>
        <w:t>Plataforma en línea: https://planperu2050.pe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1. Resumen ejecutivo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Se ha construido y puesto en producción una plataforma web interactiva del Plan Perú 2050 (https://planperu2050.pe) que sistematiza las 65 Comisiones Temáticas Nacionales, las articula con el Acuerdo Nacional y con los Programas Presupuestales del MEF, incorpora el plan de gobierno entrante, una capa de inteligencia territorial y un sistema de seguimiento mensual de indicadores hacia las metas 2050. Todo el contenido está etiquetado según su origen (redacción oficial, propuesta con IA a validar, o dato estadístico oficial), bajo un principio estricto de no sobre-afirmación.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fill="1F2A44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386"/>
            <w:shd w:val="clear" w:fill="1F2A44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Comisiones en la plataforma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64 (de 65): 19 validadas + 45 en revisión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Clasificación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Los 4 ejes / 36 políticas del Acuerdo Nacional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Articulación al Acuerdo Nacional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190 enlaces (política ↔ comisión)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Articulación a Programas Presupuestales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160 enlaces (91 PP del MEF)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Plan de gobierno articulado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56 propuestas alineadas a comisiones y AN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Seguimiento de indicadores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53 indicadores hacia meta 2050 (6 con dato oficial automático)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b/>
          <w:i w:val="0"/>
          <w:color w:val="D91023"/>
          <w:sz w:val="30"/>
        </w:rPr>
        <w:t>2. La plataforma y sus módulos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El tablero es una aplicación web pública, responsiva y de actualización automática. Sus módulos:</w:t>
      </w:r>
    </w:p>
    <w:p>
      <w:pPr>
        <w:pStyle w:val="ListBullet"/>
        <w:spacing w:after="60"/>
      </w:pPr>
      <w:r>
        <w:rPr>
          <w:b/>
          <w:color w:val="1A2238"/>
        </w:rPr>
        <w:t xml:space="preserve">Explorar. </w:t>
      </w:r>
      <w:r>
        <w:rPr>
          <w:color w:val="1A2238"/>
          <w:sz w:val="22"/>
        </w:rPr>
        <w:t>Ficha de cada comisión con visión 2050, diagnóstico, objetivos, acciones, indicadores (hoy → meta 2050) y recomendaciones, en el formato oficial de Informe Ejecutivo.</w:t>
      </w:r>
    </w:p>
    <w:p>
      <w:pPr>
        <w:pStyle w:val="ListBullet"/>
        <w:spacing w:after="60"/>
      </w:pPr>
      <w:r>
        <w:rPr>
          <w:b/>
          <w:color w:val="1A2238"/>
        </w:rPr>
        <w:t xml:space="preserve">Articulación. </w:t>
      </w:r>
      <w:r>
        <w:rPr>
          <w:color w:val="1A2238"/>
          <w:sz w:val="22"/>
        </w:rPr>
        <w:t>Cubo de doble entrada que muestra, por cada eje y política del Acuerdo Nacional, las comisiones vinculadas y el tipo de relación.</w:t>
      </w:r>
    </w:p>
    <w:p>
      <w:pPr>
        <w:pStyle w:val="ListBullet"/>
        <w:spacing w:after="60"/>
      </w:pPr>
      <w:r>
        <w:rPr>
          <w:b/>
          <w:color w:val="1A2238"/>
        </w:rPr>
        <w:t xml:space="preserve">Flujos. </w:t>
      </w:r>
      <w:r>
        <w:rPr>
          <w:color w:val="1A2238"/>
          <w:sz w:val="22"/>
        </w:rPr>
        <w:t>Diagrama Sankey por capas: Políticas de Estado → Comisiones → Programas Presupuestales.</w:t>
      </w:r>
    </w:p>
    <w:p>
      <w:pPr>
        <w:pStyle w:val="ListBullet"/>
        <w:spacing w:after="60"/>
      </w:pPr>
      <w:r>
        <w:rPr>
          <w:b/>
          <w:color w:val="1A2238"/>
        </w:rPr>
        <w:t xml:space="preserve">Plan de gobierno. </w:t>
      </w:r>
      <w:r>
        <w:rPr>
          <w:color w:val="1A2238"/>
          <w:sz w:val="22"/>
        </w:rPr>
        <w:t>Propuestas del plan de gobierno entrante alineadas a las comisiones del CIP y al Acuerdo Nacional.</w:t>
      </w:r>
    </w:p>
    <w:p>
      <w:pPr>
        <w:pStyle w:val="ListBullet"/>
        <w:spacing w:after="60"/>
      </w:pPr>
      <w:r>
        <w:rPr>
          <w:b/>
          <w:color w:val="1A2238"/>
        </w:rPr>
        <w:t xml:space="preserve">Territorial. </w:t>
      </w:r>
      <w:r>
        <w:rPr>
          <w:color w:val="1A2238"/>
          <w:sz w:val="22"/>
        </w:rPr>
        <w:t>Indicadores por departamento, provincia y distrito (IDH, pobreza, vulnerabilidad, VAB) y el gasto público del MEF.</w:t>
      </w:r>
    </w:p>
    <w:p>
      <w:pPr>
        <w:pStyle w:val="ListBullet"/>
        <w:spacing w:after="60"/>
      </w:pPr>
      <w:r>
        <w:rPr>
          <w:b/>
          <w:color w:val="1A2238"/>
        </w:rPr>
        <w:t xml:space="preserve">Seguimiento. </w:t>
      </w:r>
      <w:r>
        <w:rPr>
          <w:color w:val="1A2238"/>
          <w:sz w:val="22"/>
        </w:rPr>
        <w:t>Avance mensual de los indicadores hacia las metas 2050, con dato oficial automático donde existe.</w:t>
      </w:r>
    </w:p>
    <w:p>
      <w:pPr>
        <w:pStyle w:val="ListBullet"/>
        <w:spacing w:after="60"/>
      </w:pPr>
      <w:r>
        <w:rPr>
          <w:b/>
          <w:color w:val="1A2238"/>
        </w:rPr>
        <w:t xml:space="preserve">Simulación. </w:t>
      </w:r>
      <w:r>
        <w:rPr>
          <w:color w:val="1A2238"/>
          <w:sz w:val="22"/>
        </w:rPr>
        <w:t>Proyección interactiva de escenarios al 2050.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3. Articulación estratégica (hacia arriba y hacia abajo)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Cada comisión se articula en dos direcciones, con la metodología de clasificación acordada. Cada vínculo lleva una justificación textual, de modo que la matriz es completamente auditable.</w:t>
      </w:r>
    </w:p>
    <w:p>
      <w:pPr>
        <w:spacing w:after="60" w:before="160"/>
      </w:pPr>
      <w:r>
        <w:rPr>
          <w:b/>
          <w:i w:val="0"/>
          <w:color w:val="B8840E"/>
          <w:sz w:val="24"/>
        </w:rPr>
        <w:t>Tipos de relación</w:t>
      </w:r>
    </w:p>
    <w:p>
      <w:pPr>
        <w:pStyle w:val="ListBullet"/>
        <w:spacing w:after="60"/>
      </w:pPr>
      <w:r>
        <w:rPr>
          <w:b/>
          <w:color w:val="1A2238"/>
        </w:rPr>
        <w:t xml:space="preserve">Igual / similar. </w:t>
      </w:r>
      <w:r>
        <w:rPr>
          <w:color w:val="1A2238"/>
          <w:sz w:val="22"/>
        </w:rPr>
        <w:t>igualdad o similitud semántica directa.</w:t>
      </w:r>
    </w:p>
    <w:p>
      <w:pPr>
        <w:pStyle w:val="ListBullet"/>
        <w:spacing w:after="60"/>
      </w:pPr>
      <w:r>
        <w:rPr>
          <w:b/>
          <w:color w:val="1A2238"/>
        </w:rPr>
        <w:t xml:space="preserve">Desagregado. </w:t>
      </w:r>
      <w:r>
        <w:rPr>
          <w:color w:val="1A2238"/>
          <w:sz w:val="22"/>
        </w:rPr>
        <w:t>la comisión especifica (temática o territorialmente) algo contenido en la política o el programa.</w:t>
      </w:r>
    </w:p>
    <w:p>
      <w:pPr>
        <w:pStyle w:val="ListBullet"/>
        <w:spacing w:after="60"/>
      </w:pPr>
      <w:r>
        <w:rPr>
          <w:b/>
          <w:color w:val="1A2238"/>
        </w:rPr>
        <w:t xml:space="preserve">Causal. </w:t>
      </w:r>
      <w:r>
        <w:rPr>
          <w:color w:val="1A2238"/>
          <w:sz w:val="22"/>
        </w:rPr>
        <w:t>relación causa-efecto deducida de los textos.</w:t>
      </w:r>
    </w:p>
    <w:p>
      <w:pPr>
        <w:spacing w:after="60" w:before="160"/>
      </w:pPr>
      <w:r>
        <w:rPr>
          <w:b/>
          <w:i w:val="0"/>
          <w:color w:val="B8840E"/>
          <w:sz w:val="24"/>
        </w:rPr>
        <w:t>Alcance actual</w:t>
      </w:r>
    </w:p>
    <w:p>
      <w:pPr>
        <w:pStyle w:val="ListBullet"/>
        <w:spacing w:after="60"/>
      </w:pPr>
      <w:r>
        <w:rPr>
          <w:color w:val="1A2238"/>
          <w:sz w:val="22"/>
        </w:rPr>
        <w:t>190 enlaces Comisiones ↔ Políticas de Estado del Acuerdo Nacional (hacia arriba).</w:t>
      </w:r>
    </w:p>
    <w:p>
      <w:pPr>
        <w:pStyle w:val="ListBullet"/>
        <w:spacing w:after="60"/>
      </w:pPr>
      <w:r>
        <w:rPr>
          <w:color w:val="1A2238"/>
          <w:sz w:val="22"/>
        </w:rPr>
        <w:t>160 enlaces Comisiones ↔ Programas Presupuestales del MEF (hacia abajo, 91 PP).</w:t>
      </w:r>
    </w:p>
    <w:p>
      <w:pPr>
        <w:spacing w:after="120" w:before="0"/>
      </w:pPr>
      <w:r>
        <w:rPr>
          <w:b w:val="0"/>
          <w:i/>
          <w:color w:val="5D6B88"/>
          <w:sz w:val="20"/>
        </w:rPr>
        <w:t>La propuesta de articulación fue generada con inteligencia artificial (un análisis por comisión) y se entrega como PROPUESTA A VALIDAR por el equipo técnico. Se adjunta la matriz completa en Excel para su revisión punto por punto.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4. Articulación con el plan de gobierno entrante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Se procesaron los 3 pilares del plan de gobierno (Orden, Económico, Social) y se alinearon 56 propuestas a las comisiones del CIP y a las políticas del Acuerdo Nacional, con el mismo criterio de relación. Esto permite mostrar de forma objetiva cómo el plan de gobierno se articula con la agenda técnica del Colegio, y sirve de base para un seguimiento posterior con dato duro.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5. Inteligencia territorial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Módulo con un mapa interactivo del Perú y datos reales por departamento, provincia y distrito:</w:t>
      </w:r>
    </w:p>
    <w:p>
      <w:pPr>
        <w:pStyle w:val="ListBullet"/>
        <w:spacing w:after="60"/>
      </w:pPr>
      <w:r>
        <w:rPr>
          <w:color w:val="1A2238"/>
          <w:sz w:val="22"/>
        </w:rPr>
        <w:t>Mapa interactivo por distrito (1,826 distritos), coloreado por IDH, pobreza o pobreza extrema, con detalle al hacer clic en cada distrito.</w:t>
      </w:r>
    </w:p>
    <w:p>
      <w:pPr>
        <w:pStyle w:val="ListBullet"/>
        <w:spacing w:after="60"/>
      </w:pPr>
      <w:r>
        <w:rPr>
          <w:color w:val="1A2238"/>
          <w:sz w:val="22"/>
        </w:rPr>
        <w:t>IDH, pobreza y pobreza extrema por distrito, y población (fuente PNUD / INEI).</w:t>
      </w:r>
    </w:p>
    <w:p>
      <w:pPr>
        <w:pStyle w:val="ListBullet"/>
        <w:spacing w:after="60"/>
      </w:pPr>
      <w:r>
        <w:rPr>
          <w:color w:val="1A2238"/>
          <w:sz w:val="22"/>
        </w:rPr>
        <w:t>Gasto público del MEF (SIAF) por departamento: presupuesto, devengado y ejecución del año en curso.</w:t>
      </w:r>
    </w:p>
    <w:p>
      <w:pPr>
        <w:pStyle w:val="ListBullet"/>
        <w:spacing w:after="60"/>
      </w:pPr>
      <w:r>
        <w:rPr>
          <w:color w:val="1A2238"/>
          <w:sz w:val="22"/>
        </w:rPr>
        <w:t>Presupuesto por tipo de gasto: corriente vs. inversión/capital, por departamento (MEF, año en curso).</w:t>
      </w:r>
    </w:p>
    <w:p>
      <w:pPr>
        <w:pStyle w:val="ListBullet"/>
        <w:spacing w:after="60"/>
      </w:pPr>
      <w:r>
        <w:rPr>
          <w:color w:val="1A2238"/>
          <w:sz w:val="22"/>
        </w:rPr>
        <w:t>Valor Agregado Bruto (VAB) por departamento y VAB per cápita (INEI 2023), como aproximación al desarrollo productivo.</w:t>
      </w:r>
    </w:p>
    <w:p>
      <w:pPr>
        <w:pStyle w:val="ListBullet"/>
        <w:spacing w:after="60"/>
      </w:pPr>
      <w:r>
        <w:rPr>
          <w:color w:val="1A2238"/>
          <w:sz w:val="22"/>
        </w:rPr>
        <w:t>Vulnerabilidad económica a la pobreza (INEI): 31.4% nacional (2023); a nivel departamental por grupos (2019).</w:t>
      </w:r>
    </w:p>
    <w:p>
      <w:pPr>
        <w:spacing w:after="120" w:before="0"/>
      </w:pPr>
      <w:r>
        <w:rPr>
          <w:b w:val="0"/>
          <w:i/>
          <w:color w:val="5D6B88"/>
          <w:sz w:val="20"/>
        </w:rPr>
        <w:t>Nota metodológica: la vulnerabilidad a la pobreza NO se publica a nivel distrital; el nivel oficial más fino es provincial (2018) y departamental agrupado (2019). El VAB oficial se publica por departamento; a nivel de distrito no existe. Se indica la fuente y el año en cada caso.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6. Seguimiento mensual de indicadores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Sistema que registra automáticamente, cada mes, qué tan cerca o lejos estamos de las metas aspiracionales 2050. Ordena los indicadores del más lejano al más cercano a su meta y calcula un índice de avance. Para los indicadores que cuentan con una serie estadística oficial, el valor se actualiza solo desde la fuente (hoy 6 indicadores toman su valor del BCRP, con su año y su advertencia de vigencia); el resto usa el valor de la redacción de la comisión. Al agregar las comisiones nuevos indicadores, se incorporan automáticamente.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7. Estado de las observaciones de la última reunión</w:t>
      </w:r>
    </w:p>
    <w:p>
      <w:pPr>
        <w:spacing w:after="120"/>
        <w:pBdr>
          <w:bottom w:val="single" w:sz="6" w:space="1" w:color="B8840E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53"/>
            <w:shd w:val="clear" w:fill="1F2A44"/>
          </w:tcPr>
          <w:p>
            <w:r>
              <w:rPr>
                <w:b/>
                <w:color w:val="FFFFFF"/>
                <w:sz w:val="19"/>
              </w:rPr>
              <w:t>Observación</w:t>
            </w:r>
          </w:p>
        </w:tc>
        <w:tc>
          <w:tcPr>
            <w:tcW w:type="dxa" w:w="3685"/>
            <w:shd w:val="clear" w:fill="1F2A44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Exportar la matriz de articulación a Excel para validar (igual/similar/causal/desagregado)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Excel con 3 hojas y columnas de validación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Corregir el PDF que mostraba los ejes temáticos antiguos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ahora muestra los ejes del Acuerdo Nacional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Articulación con Programas Presupuestales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HECHO — en el detalle de cada comisión, en Flujos y en el Excel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Columna de Vulnerabilidad económica a la pobreza (INEI)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a nivel departamental (no existe distrital)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Columna de Valor Agregado Bruto (VAB)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por departamento y per cápita (INEI 2023)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Confirmar el año del IDH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Es IDH 2019 (PNUD), el último disponible a nivel distrital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Mapa territorial interactivo por distrito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mapa del Perú con IDH/pobreza y detalle por distrito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Presupuesto corriente vs. inversión por territorio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por departamento (MEF, tipo de gasto)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b/>
          <w:i w:val="0"/>
          <w:color w:val="D91023"/>
          <w:sz w:val="30"/>
        </w:rPr>
        <w:t>8. Fuentes de datos y principio anti-sobreafirmación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Todo el contenido está claramente rotulado según su naturaleza, para no presentar como oficial lo que es estimado o inferido:</w:t>
      </w:r>
    </w:p>
    <w:p>
      <w:pPr>
        <w:pStyle w:val="ListBullet"/>
        <w:spacing w:after="60"/>
      </w:pPr>
      <w:r>
        <w:rPr>
          <w:color w:val="1A2238"/>
          <w:sz w:val="22"/>
        </w:rPr>
        <w:t>Dato oficial (con fuente y año): IDH y pobreza (PNUD/INEI), gasto MEF (SIAF), VAB y vulnerabilidad (INEI), presión tributaria e informalidad (BCRP).</w:t>
      </w:r>
    </w:p>
    <w:p>
      <w:pPr>
        <w:pStyle w:val="ListBullet"/>
        <w:spacing w:after="60"/>
      </w:pPr>
      <w:r>
        <w:rPr>
          <w:color w:val="1A2238"/>
          <w:sz w:val="22"/>
        </w:rPr>
        <w:t>Propuesta con IA (a validar): la matriz de articulación y el alineamiento del plan de gobierno.</w:t>
      </w:r>
    </w:p>
    <w:p>
      <w:pPr>
        <w:pStyle w:val="ListBullet"/>
        <w:spacing w:after="60"/>
      </w:pPr>
      <w:r>
        <w:rPr>
          <w:color w:val="1A2238"/>
          <w:sz w:val="22"/>
        </w:rPr>
        <w:t>Redacción de la comisión: validada u "en revisión" (línea base preliminar).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9. Cómo revisar y validar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Se adjunta la matriz completa en Excel (Informe-Plan-Peru-2050 → archivo articulacion.xlsx). Cada fila trae la relación propuesta, su tipo y su justificación, más tres columnas para la validación del equipo: «¿Correcto?» (Sí/No/Revisar), «Tipo corregido» y «Observación», con menús desplegables. Con la matriz corregida se puede cerrar la articulación de forma definitiva.</w:t>
      </w:r>
    </w:p>
    <w:p>
      <w:pPr>
        <w:spacing w:after="120" w:before="0"/>
      </w:pPr>
      <w:r>
        <w:rPr>
          <w:b w:val="0"/>
          <w:i w:val="0"/>
          <w:color w:val="B8840E"/>
          <w:sz w:val="21"/>
        </w:rPr>
        <w:t>Descarga directa: https://planperu2050.pe/entregables/articulacion.xlsx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10. Próximos pasos</w:t>
      </w:r>
    </w:p>
    <w:p>
      <w:pPr>
        <w:spacing w:after="120"/>
        <w:pBdr>
          <w:bottom w:val="single" w:sz="6" w:space="1" w:color="B8840E"/>
        </w:pBdr>
      </w:pPr>
    </w:p>
    <w:p>
      <w:pPr>
        <w:pStyle w:val="ListBullet"/>
        <w:spacing w:after="60"/>
      </w:pPr>
      <w:r>
        <w:rPr>
          <w:color w:val="1A2238"/>
          <w:sz w:val="22"/>
        </w:rPr>
        <w:t>Recibir la versión final de las comisiones y actualizar el tablero.</w:t>
      </w:r>
    </w:p>
    <w:p>
      <w:pPr>
        <w:pStyle w:val="ListBullet"/>
        <w:spacing w:after="60"/>
      </w:pPr>
      <w:r>
        <w:rPr>
          <w:color w:val="1A2238"/>
          <w:sz w:val="22"/>
        </w:rPr>
        <w:t>Validación humana de la matriz de articulación (con el Excel adjunto).</w:t>
      </w:r>
    </w:p>
    <w:p>
      <w:pPr>
        <w:pStyle w:val="ListBullet"/>
        <w:spacing w:after="60"/>
      </w:pPr>
      <w:r>
        <w:rPr>
          <w:color w:val="1A2238"/>
          <w:sz w:val="22"/>
        </w:rPr>
        <w:t>Detallar la articulación a nivel de objetivos de cada política de Estado (tercer nivel del Acuerdo Nacional).</w:t>
      </w:r>
    </w:p>
    <w:p>
      <w:pPr>
        <w:pStyle w:val="ListBullet"/>
        <w:spacing w:after="60"/>
      </w:pPr>
      <w:r>
        <w:rPr>
          <w:color w:val="1A2238"/>
          <w:sz w:val="22"/>
        </w:rPr>
        <w:t>Llevar el presupuesto corriente vs. inversión al nivel provincial y distrital.</w:t>
      </w:r>
    </w:p>
    <w:p>
      <w:pPr>
        <w:pStyle w:val="ListBullet"/>
        <w:spacing w:after="60"/>
      </w:pPr>
      <w:r>
        <w:rPr>
          <w:color w:val="1A2238"/>
          <w:sz w:val="22"/>
        </w:rPr>
        <w:t>Conectar más indicadores de seguimiento a fuentes oficiales (INEI/ENDES/MTC/MINEM).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Enlaces</w:t>
      </w:r>
    </w:p>
    <w:p>
      <w:pPr>
        <w:spacing w:after="120"/>
        <w:pBdr>
          <w:bottom w:val="single" w:sz="6" w:space="1" w:color="B8840E"/>
        </w:pBdr>
      </w:pPr>
    </w:p>
    <w:p>
      <w:pPr>
        <w:pStyle w:val="ListBullet"/>
        <w:spacing w:after="60"/>
      </w:pPr>
      <w:r>
        <w:rPr>
          <w:color w:val="1A2238"/>
          <w:sz w:val="22"/>
        </w:rPr>
        <w:t>Plataforma: https://planperu2050.pe</w:t>
      </w:r>
    </w:p>
    <w:p>
      <w:pPr>
        <w:pStyle w:val="ListBullet"/>
        <w:spacing w:after="60"/>
      </w:pPr>
      <w:r>
        <w:rPr>
          <w:color w:val="1A2238"/>
          <w:sz w:val="22"/>
        </w:rPr>
        <w:t>Matriz de articulación (Excel): https://planperu2050.pe/entregables/articulacion.xlsx</w:t>
      </w:r>
    </w:p>
    <w:p>
      <w:pPr>
        <w:pStyle w:val="ListBullet"/>
        <w:spacing w:after="60"/>
      </w:pPr>
      <w:r>
        <w:rPr>
          <w:color w:val="1A2238"/>
          <w:sz w:val="22"/>
        </w:rPr>
        <w:t>Fichas por comisión (PDF): https://planperu2050.pe/entregables/pdf/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