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Ciencia y Tecnología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Economía del Conocimiento</w:t>
      </w:r>
    </w:p>
    <w:p>
      <w:r>
        <w:rPr>
          <w:rFonts w:ascii="Calibri" w:hAnsi="Calibri"/>
          <w:b w:val="0"/>
          <w:i w:val="0"/>
          <w:color w:val="1A2238"/>
          <w:sz w:val="23"/>
        </w:rPr>
        <w:t>La Comisión propone el modelo "Educación con Ciencia y Tecnología para la Producción y la Exportación" para transitar de un Perú extractivista a una nación industrializada basada en la "Minería del Conocimiento", articulando academia, Estado y empresa privada en torno a cuatro pilares.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7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4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5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Metas 2050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—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Visión 2050</w:t>
      </w:r>
    </w:p>
    <w:p>
      <w:r>
        <w:rPr>
          <w:rFonts w:ascii="Calibri" w:hAnsi="Calibri"/>
          <w:b w:val="0"/>
          <w:i w:val="0"/>
          <w:color w:val="1A2238"/>
          <w:sz w:val="21"/>
        </w:rPr>
        <w:t>Al 2050 el Perú no solo extrae sus recursos, sino que los transforma y compite en los mercados globales con productos de alto valor agregado, emulando el milagro tecnológico de Japón, consolidando un capital humano de élite exportador de conocimiento y entrando al Top 20 de economías mundiales.</w:t>
      </w:r>
    </w:p>
    <w:p>
      <w:r>
        <w:rPr>
          <w:rFonts w:ascii="Calibri" w:hAnsi="Calibri"/>
          <w:b/>
          <w:i w:val="0"/>
          <w:color w:val="D91023"/>
          <w:sz w:val="26"/>
        </w:rPr>
        <w:t>Diagnóstico — brecha 2026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Crisis estructural de desarrollo productivo: pese a contar con inmensos recursos, el Perú exporta el 65% de su cobre como mineral crudo, perdiendo la oportunidad de multiplicar su valor en mercados de Alemania, China y Japón.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Sistema educativo fracturado: la SUNEDU solo supervisa el producto final (la universidad) e ignora la 'materia prima' que ingresa desde la educación básica.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Muchos niños sufren problemas de nutrición prenatal que afectan su desarrollo cerebral, y hay alta deserción escolar por necesidad laboral.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Pandemónium en la generación de tesis: los estudiantes eligen temas libres sin relevancia para el país, desperdiciando conocimiento y presupuesto; los graduados terminan subempleados (ej. manejando taxis) por falta de demanda industrial.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No existen verdaderos puentes entre la academia y el mercado; el país carece de empresarios manufactureros e innovación.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La investigación no está institucionalizada y los pocos científicos peruanos migran al extranjero por falta de demanda e infraestructura.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Los proyectos nacionales se conciben de forma aislada, sin enfoque sistémico; falta legislar para obligar a dar valor agregado antes de exportar, como ya hicieron Indonesia, Rusia, Chile y Bolivia para proteger sus recursos (Níquel, Litio, Cobre).</w:t>
      </w:r>
    </w:p>
    <w:p>
      <w:r>
        <w:rPr>
          <w:rFonts w:ascii="Calibri" w:hAnsi="Calibri"/>
          <w:b/>
          <w:i w:val="0"/>
          <w:color w:val="D91023"/>
          <w:sz w:val="26"/>
        </w:rPr>
        <w:t>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Inversión en I+D proveniente del sector privado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Pilar 3 / OE3 / Matriz Resumen (Estándar Japón)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Exportación de cobre como mineral crudo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Síntesis de la Situación Actual / OE4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Reducción de la exportación de cobre bruto (meta intermedia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Resumen, OE4.1 (reducción del 30%)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Deserción estudiantil por necesidad laboral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OE1 / Matriz Resumen (0% deserción mediante modalidades remotas)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Centralización de tesis (pre y posgrado) hacia proyectos industriales (meta intermedia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Resumen, Acción 2.1.1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Tesis orientadas a resolver demandas reales de empresas y exportación (meta 2040)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Resumen, Acción 2.1.1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Primeros Parques Científicos y Tecnológicos operativos (meta intermedia 2030)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parques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Resumen, OE3.1 (Modelo Stanford)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Cadena de valor educativo: </w:t>
      </w:r>
      <w:r>
        <w:rPr>
          <w:rFonts w:ascii="Calibri" w:hAnsi="Calibri"/>
          <w:b w:val="0"/>
          <w:i w:val="0"/>
          <w:color w:val="1A2238"/>
          <w:sz w:val="21"/>
        </w:rPr>
        <w:t>Enfoque industrial aplicado a la educación que inicia en la etapa prenatal y se extiende hasta el posgrado, asegurando la formación del capital humano, con control de calidad (SUNEDU) en cada etapa del proceso y no solo al final.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Universidades del conocimiento: </w:t>
      </w:r>
      <w:r>
        <w:rPr>
          <w:rFonts w:ascii="Calibri" w:hAnsi="Calibri"/>
          <w:b w:val="0"/>
          <w:i w:val="0"/>
          <w:color w:val="1A2238"/>
          <w:sz w:val="21"/>
        </w:rPr>
        <w:t>Transformación de las universidades en centros de investigación y generación de conocimiento orientados a la demanda nacional e industrial, abandonando la proliferación de tesis desconectadas de la realidad; universidades como 'fábricas' de conocimiento y de empresarios.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Parques científicos y tecnológicos: </w:t>
      </w:r>
      <w:r>
        <w:rPr>
          <w:rFonts w:ascii="Calibri" w:hAnsi="Calibri"/>
          <w:b w:val="0"/>
          <w:i w:val="0"/>
          <w:color w:val="1A2238"/>
          <w:sz w:val="21"/>
        </w:rPr>
        <w:t>Creación de puentes entre la academia y el mercado mediante centros de innovación dentro de las universidades (modelo Stanford Research Park, 1951) para formar Empresas de Base Tecnológica (EBT).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Parques industriales y exportación sistémica: </w:t>
      </w:r>
      <w:r>
        <w:rPr>
          <w:rFonts w:ascii="Calibri" w:hAnsi="Calibri"/>
          <w:b w:val="0"/>
          <w:i w:val="0"/>
          <w:color w:val="1A2238"/>
          <w:sz w:val="21"/>
        </w:rPr>
        <w:t>Desarrollo de manufactura con valor agregado dirigida a mercados internacionales específicos (China, Japón, Alemania), aplicando planeamiento sistémico (Ingeniería de Sistemas) e integrando parque industrial con universidad, ferrocarril y puerto (ej. Chancay, polos mineros; modelo Mánchester 1896).</w:t>
      </w:r>
    </w:p>
    <w:p>
      <w:r>
        <w:rPr>
          <w:rFonts w:ascii="Calibri" w:hAnsi="Calibri"/>
          <w:b/>
          <w:i w:val="0"/>
          <w:color w:val="D91023"/>
          <w:sz w:val="26"/>
        </w:rPr>
        <w:t>Metas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Reducir la deserción técnica/estudiantil a 0% mediante validación universitaria y educación a distancia, consolidando un capital humano de élite exportador de conocimiento.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Centralizar el 100% de las tesis en centros de innovación para su comercialización directa a la industria al 2030, con un sistema académico peruano que lidere el registro de patentes y EBTs en Sudamérica.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Lograr que el 80% de la inversión en I+D provenga de empresas privadas (estándar Japón), con todas las universidades clave operando parques de investigación en sus campus.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Reducir drásticamente la exportación de cobre crudo del 65% actual, reemplazándola por componentes de valor agregado, exportando productos tecnológicos y materias primas 100% procesadas a los principales mercados del mundo y entrando al Top 20 de economías mundiales.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Eliminar totalmente el modelo primario exportador extractivista, con complejos operando bajo enfoque sistémico Puerto-Ferrocarril-Industria.</w:t>
      </w:r>
    </w:p>
    <w:p>
      <w:r>
        <w:rPr>
          <w:rFonts w:ascii="Calibri" w:hAnsi="Calibri"/>
          <w:b/>
          <w:i w:val="0"/>
          <w:color w:val="D91023"/>
          <w:sz w:val="26"/>
        </w:rPr>
        <w:t>Acciones e iniciativas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Reestructuración del Sistema de Supervisión Educativa (SUNEDU Integral): ampliar las facultades de calidad educativa para auditar insumos y procesos desde inicial, primaria, secundaria e institutos superiores tecnológicos (control de calidad de toda la cadena, modelo Deming).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Programa de Protección Prenatal y Nutrición Temprana: garantizar alimentación y medicina desde la gestación a través de las alcaldías para asegurar el desarrollo cognitivo.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Implementación de educación a distancia y convalidación técnica para ingreso directo a universidades y cobertura digital en zonas mineras/industriales.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Creación del Centro de Coordinación de Tesis de Interés Nacional: norma que obligue a alinear proyectos de grado, maestrías y doctorados con las necesidades de los sectores productivos regionales (minería, agroindustria).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Ley de Fomento de Parques Tecnológicos Universitarios: marco normativo para ceder espacios en universidades públicas destinados a instalar empresas científicas y de innovación (EBT), modelo Stanford Research Park.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Legislación para el Valor Agregado Obligatorio: dispositivos legales que restrinjan o graven la exportación de materia prima bruta, obligando a instalar fundiciones y manufactura local (modelo Indonesia/Bolivia/Chile/Rusia).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Especialización multicultural hacia mercados de alto consumo: incorporación de idiomas estratégicos (chino, japonés, alemán) en zonas industriales exportadoras.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Aprobar de manera urgente una Política Nacional de Ciencia y Tecnología (basada en el Modelo Japón 1987) mediante una ley general transversal que convierta a la Ciencia y Tecnología en la principal herramienta del Estado, fijando metas ambiciosas (Premios Nobel, patentes), pues es indispensable para orientar el resto del presupuesto nacional.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