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Medio Ambiente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Sostenibilidad y Ambiente</w:t>
      </w:r>
    </w:p>
    <w:p>
      <w:r>
        <w:rPr>
          <w:rFonts w:ascii="Calibri" w:hAnsi="Calibri"/>
          <w:b w:val="0"/>
          <w:i w:val="0"/>
          <w:color w:val="1A2238"/>
          <w:sz w:val="23"/>
        </w:rPr>
        <w:t>La Comisión Temática Ambiental propone una estrategia de largo plazo basada en la "Alfabetización Ambiental Operativa", articulada en tres pilares (Economía Circular Transaccional, Tecnología/Innovación/Trazabilidad y Gobernanza/Sostenibilidad) para transformar el modelo ambiental peruano hacia 2050.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8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3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8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Metas 2050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33%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Visión 2050</w:t>
      </w:r>
    </w:p>
    <w:p>
      <w:r>
        <w:rPr>
          <w:rFonts w:ascii="Calibri" w:hAnsi="Calibri"/>
          <w:b w:val="0"/>
          <w:i w:val="0"/>
          <w:color w:val="1A2238"/>
          <w:sz w:val="21"/>
        </w:rPr>
        <w:t>Hacia 2050, bajo un escenario de "Innovación Sostenible", el Perú consolida una economía verde que aprovecha su biodiversidad y recursos naturales, con una "Alfabetización Ambiental Operativa" que traduce el conocimiento científico y la conciencia crítica en acciones técnicas, prácticas productivas sostenibles y consumo responsable.</w:t>
      </w:r>
    </w:p>
    <w:p>
      <w:r>
        <w:rPr>
          <w:rFonts w:ascii="Calibri" w:hAnsi="Calibri"/>
          <w:b/>
          <w:i w:val="0"/>
          <w:color w:val="D91023"/>
          <w:sz w:val="26"/>
        </w:rPr>
        <w:t>Diagnóstico — brecha 2026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Economía circular reducida: menos del 5% de los residuos solidos aprovechables son reincorporados formalmente a las cadenas productivas.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Se generan mas de 24,600 toneladas de residuos solidos al dia, de las cuales mas del 76% tiene alto potencial de valorizacion que se pierde en vertederos.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Carencia critica de plantas de compostaje y de transferencia tecnica a nivel municipal.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Deficit de infraestructura automatizada: PYMES y sectores extractivos tradicionales operan con sistemas de control analogicos o desarticulados, facilitando la informalidad comercial e impidiendo certificar el origen sostenible de los recursos.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La educacion ambiental y ecologica se limita a la teoria basica, sin enfoque de competencias operativas para el empleo verde.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Vacio legal historico en la tipificacion y sancion de infracciones ambientales modernas y cadenas de suministro informales.</w:t>
      </w:r>
    </w:p>
    <w:p>
      <w:r>
        <w:rPr>
          <w:rFonts w:ascii="Calibri" w:hAnsi="Calibri"/>
          <w:b/>
          <w:i w:val="0"/>
          <w:color w:val="D91023"/>
          <w:sz w:val="26"/>
        </w:rPr>
        <w:t>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Tasa de valorización nacional de residuos reaprovechables (incremento al 2050)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Pilar 1 Economía Circular Transaccional, Plan Perú 2050 Comisión Ambiental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Residuos sólidos aprovechables reincorporados formalmente a cadenas productivas (situación actual)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Síntesis de la Situación Actual, Pilar 1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Residuos sólidos generados al día con alto potencial de valorización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76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 24,600 t/día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Pilar 1 / AE1.1, Plan Perú 2050 Comisión Ambiental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Inversión en I+D+i ambiental (% del PBI)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0.5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1.5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PBI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33%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OE-E1 y Matriz Resumen (0.5% 2030 → 1.0% 2040 → 1.5% 2050)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Industrias medianas y grandes bajo estándares ISO 14001 y trazabilidad automatizada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OE-A3 Seguridad Operacional y Ecoeficiencia de Clase Mundial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Regiones con Red de Nodos Circulares operativos e interconectados digitalmente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OE-A1 y Matriz Resumen (30% 2030 → 70% 2040 → 100% 2050)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Currículos de educación técnica y universitaria con competencias técnicas ambientales obligatorias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OE-E2 Desarrollo de Capacidades y Alfabetización Operativa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Automatización de la fiscalización ambiental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Resumen, AE3.3 (monitoreo tiempo real 2030 → fiscalización predictiva 2040 → automa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852160" cy="1570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nce_medio-ambien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7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D6B88"/>
          <w:sz w:val="16"/>
        </w:rPr>
        <w:t>Avance estimado de cada indicador hacia su meta 2050.</w:t>
      </w:r>
    </w:p>
    <w:p>
      <w:r>
        <w:rPr>
          <w:rFonts w:ascii="Calibri" w:hAnsi="Calibri"/>
          <w:b/>
          <w:i w:val="0"/>
          <w:color w:val="D91023"/>
          <w:sz w:val="26"/>
        </w:rPr>
        <w:t>Mapa estratégico</w:t>
      </w:r>
    </w:p>
    <w:p>
      <w:r>
        <w:drawing>
          <wp:inline xmlns:a="http://schemas.openxmlformats.org/drawingml/2006/main" xmlns:pic="http://schemas.openxmlformats.org/drawingml/2006/picture">
            <wp:extent cx="3291840" cy="454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medio-ambie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454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color w:val="5D6B88"/>
          <w:sz w:val="16"/>
        </w:rPr>
        <w:t>Puntos referenciales de infraestructura asociada a la comisión (ubicación aproximada).</w:t>
      </w:r>
    </w:p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Economía Circular Transaccional: </w:t>
      </w:r>
      <w:r>
        <w:rPr>
          <w:rFonts w:ascii="Calibri" w:hAnsi="Calibri"/>
          <w:b w:val="0"/>
          <w:i w:val="0"/>
          <w:color w:val="1A2238"/>
          <w:sz w:val="21"/>
        </w:rPr>
        <w:t>Infraestructura descentralizada (Nodos Circulares de valorización intermedia y segregación avanzada), Bolsa de Valores de Residuos Sólidos como plataforma transaccional digital, incentivos tributarios por peso neto segregado e inclusión social de recicladores tradicionales.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Tecnología, Innovación y Trazabilidad: </w:t>
      </w:r>
      <w:r>
        <w:rPr>
          <w:rFonts w:ascii="Calibri" w:hAnsi="Calibri"/>
          <w:b w:val="0"/>
          <w:i w:val="0"/>
          <w:color w:val="1A2238"/>
          <w:sz w:val="21"/>
        </w:rPr>
        <w:t>Integración de IA, sensores de monitoreo ambiental e IoT en tiempo real; trazabilidad con blockchain de cadenas de suministro (minería, agricultura, forestería) para certificar exportaciones libres de deforestación y baja huella de carbono; I+D+i aplicada que fusiona ciencia moderna con saberes tradicionales.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Gobernanza y Sostenibilidad: </w:t>
      </w:r>
      <w:r>
        <w:rPr>
          <w:rFonts w:ascii="Calibri" w:hAnsi="Calibri"/>
          <w:b w:val="0"/>
          <w:i w:val="0"/>
          <w:color w:val="1A2238"/>
          <w:sz w:val="21"/>
        </w:rPr>
        <w:t>Institucionalidad climática con rendición de cuentas transparente, descarbonización hacia neutralidad de carbono (reducción de GEI) y ecoeficiencia (ecodiseño, gestión de huella hídrica industrial, infraestructura verde y edificación sostenible).</w:t>
      </w:r>
    </w:p>
    <w:p>
      <w:r>
        <w:rPr>
          <w:rFonts w:ascii="Calibri" w:hAnsi="Calibri"/>
          <w:b/>
          <w:i w:val="0"/>
          <w:color w:val="D91023"/>
          <w:sz w:val="26"/>
        </w:rPr>
        <w:t>Metas 2050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Incremento del 50% en la tasa de valorización nacional de residuos reaprovechables al 2050.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Red de Nodos Circulares operativos en el 100% de las regiones del país, interconectados digitalmente (30% cobertura 2030, 70% 2040, 100% 2050).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100% de las industrias medianas y grandes operando bajo estándares internacionales ISO 14001 y sistemas de trazabilidad automatizada.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Incrementar la inversión en I+D+i ambiental al 1.5% del PBI (0.5% en 2030, 1.0% en 2040), con patentes locales en agrotecnología y remediación ambiental.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Inclusión obligatoria de competencias técnicas ambientales en el 100% de los currículos de educación técnica y universitaria.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Institucionalidad ambiental con rango constitucional autónomo y participación articulada del sector privado.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Automatización del 100% de la fiscalización ambiental, con trazabilidad total y cero papel.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Capturar el 76% de residuos con alto potencial de valorización que actualmente se desperdician en vertederos.</w:t>
      </w:r>
    </w:p>
    <w:p>
      <w:r>
        <w:rPr>
          <w:rFonts w:ascii="Calibri" w:hAnsi="Calibri"/>
          <w:b/>
          <w:i w:val="0"/>
          <w:color w:val="D91023"/>
          <w:sz w:val="26"/>
        </w:rPr>
        <w:t>Acciones e iniciativas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AE1.1 – Construcción de la red nacional de Nodos Circulares (plantas de valorización intermedia descentralizadas) con modelos APP (50 plantas 2030, 150 plantas 2040, cobertura nacional 2050).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AE1.2 – Creación del marco regulatorio para la Bolsa de Valores de Residuos Sólidos, tomando como evidencia los modelos de Canadá y Australia.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AE3.1 – Actualización y endurecimiento de los Estándares de Calidad Ambiental (ECA) y Límites Máximos Permisibles (LMP) alineados a la OCDE.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AE3.3 – Modernización digital de la fiscalización ambiental (OEFA) mediante IA, sensores IoT, imágenes satelitales y blockchain.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AE4.1 – Promulgación de la Ley de Actividades y Delitos Ambientales Complejos.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AE4.2 – Establecimiento de una Base de Investigación de Alta Tecnología y Monitoreo Satelital aprovechando la ubicación ecuatorial del Perú para vigilar la Amazonía (deforestación, minería ilegal, estrés hídrico).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AE4.3 – Programa Nacional de Alfabetización Ambiental Operativa, articulado con MINEDU y MTPE para competencias laborales verdes.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AE5.1 – Activación del Fondo Nacional de Innovación Ambiental para financiar startups cleantech (fondeo mixto: multas ambientales, cooperación internacional y PpR).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Hitos de los primeros 100 días: anteproyecto de la Ley de Delitos Ambientales Complejos (Mesa Técnica Intersectorial MINAM, MINJUSDH, OEFA, Poder Judicial) y viabilización de los perfiles de inversión pública (CUI en Invierte.pe) para los primeros tres Nodos Circulares piloto.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Institucionalizar la "Alfabetización Ambiental Operativa" como modelo nacional, dotando a la institucionalidad ambiental de rango constitucional autónomo, y promulgar de inmediato la Ley de Actividades y Delitos Ambientales Complejos como base legal indispensable para exigir trazabilidad digital obligatoria y regular la Bolsa de Valores de Residuos Sólidos, todo articulado al Presupuesto por Resultados (PpR) y al PEDN 2050 coordinado por CEPLAN.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