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Calibri" w:hAnsi="Calibri"/>
          <w:b/>
          <w:i w:val="0"/>
          <w:color w:val="B8840E"/>
          <w:sz w:val="22"/>
        </w:rPr>
        <w:t>PLAN PERÚ 2050</w:t>
      </w:r>
      <w:r>
        <w:br/>
      </w:r>
      <w:r>
        <w:rPr>
          <w:rFonts w:ascii="Calibri" w:hAnsi="Calibri"/>
          <w:b w:val="0"/>
          <w:i w:val="0"/>
          <w:color w:val="5D6B88"/>
          <w:sz w:val="18"/>
        </w:rPr>
        <w:t>Comisión Temática Nacional · CNPP — Colegio de Ingenieros del Perú</w:t>
      </w:r>
    </w:p>
    <w:p>
      <w:r>
        <w:rPr>
          <w:rFonts w:ascii="Calibri" w:hAnsi="Calibri"/>
          <w:b/>
          <w:i w:val="0"/>
          <w:color w:val="D91023"/>
          <w:sz w:val="48"/>
        </w:rPr>
        <w:t>Ciencia y Tecnología</w:t>
      </w:r>
    </w:p>
    <w:p>
      <w:r>
        <w:rPr>
          <w:rFonts w:ascii="Calibri" w:hAnsi="Calibri"/>
          <w:b w:val="0"/>
          <w:i/>
          <w:color w:val="5D6B88"/>
          <w:sz w:val="21"/>
        </w:rPr>
        <w:t>Eje estratégico: Economía del Conocimiento</w:t>
      </w:r>
    </w:p>
    <w:p>
      <w:r>
        <w:rPr>
          <w:rFonts w:ascii="Calibri" w:hAnsi="Calibri"/>
          <w:b w:val="0"/>
          <w:i w:val="0"/>
          <w:color w:val="1A2238"/>
          <w:sz w:val="23"/>
        </w:rPr>
        <w:t>La Comisión propone el modelo "Educación con Ciencia y Tecnología para la Producción y la Exportación" para transitar de un Perú extractivista a una nación industrializada basada en la "Minería del Conocimiento", articulando academia, Estado y empresa privada en torno a cuatro pilares.</w:t>
      </w:r>
    </w:p>
    <w:p>
      <w:r>
        <w:rPr>
          <w:rFonts w:ascii="Calibri" w:hAnsi="Calibri"/>
          <w:b/>
          <w:i w:val="0"/>
          <w:color w:val="D91023"/>
          <w:sz w:val="26"/>
        </w:rPr>
        <w:t>Síntesis cuantitativa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fill="F4F6FB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D91023"/>
                <w:sz w:val="36"/>
              </w:rPr>
              <w:t>7</w:t>
              <w:br/>
            </w:r>
            <w:r>
              <w:rPr>
                <w:rFonts w:ascii="Calibri" w:hAnsi="Calibri"/>
                <w:b w:val="0"/>
                <w:i w:val="0"/>
                <w:color w:val="5D6B88"/>
                <w:sz w:val="17"/>
              </w:rPr>
              <w:t>Indicadores</w:t>
            </w:r>
          </w:p>
        </w:tc>
        <w:tc>
          <w:tcPr>
            <w:tcW w:type="dxa" w:w="2484"/>
            <w:shd w:fill="F4F6FB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D91023"/>
                <w:sz w:val="36"/>
              </w:rPr>
              <w:t>4</w:t>
              <w:br/>
            </w:r>
            <w:r>
              <w:rPr>
                <w:rFonts w:ascii="Calibri" w:hAnsi="Calibri"/>
                <w:b w:val="0"/>
                <w:i w:val="0"/>
                <w:color w:val="5D6B88"/>
                <w:sz w:val="17"/>
              </w:rPr>
              <w:t>Pilares</w:t>
            </w:r>
          </w:p>
        </w:tc>
        <w:tc>
          <w:tcPr>
            <w:tcW w:type="dxa" w:w="2484"/>
            <w:shd w:fill="F4F6FB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D91023"/>
                <w:sz w:val="36"/>
              </w:rPr>
              <w:t>5</w:t>
              <w:br/>
            </w:r>
            <w:r>
              <w:rPr>
                <w:rFonts w:ascii="Calibri" w:hAnsi="Calibri"/>
                <w:b w:val="0"/>
                <w:i w:val="0"/>
                <w:color w:val="5D6B88"/>
                <w:sz w:val="17"/>
              </w:rPr>
              <w:t>Objetivos</w:t>
            </w:r>
          </w:p>
        </w:tc>
        <w:tc>
          <w:tcPr>
            <w:tcW w:type="dxa" w:w="2484"/>
            <w:shd w:fill="F4F6FB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D91023"/>
                <w:sz w:val="36"/>
              </w:rPr>
              <w:t>—</w:t>
              <w:br/>
            </w:r>
            <w:r>
              <w:rPr>
                <w:rFonts w:ascii="Calibri" w:hAnsi="Calibri"/>
                <w:b w:val="0"/>
                <w:i w:val="0"/>
                <w:color w:val="5D6B88"/>
                <w:sz w:val="17"/>
              </w:rPr>
              <w:t>Avance estimado</w:t>
            </w:r>
          </w:p>
        </w:tc>
      </w:tr>
    </w:tbl>
    <w:p>
      <w:r>
        <w:rPr>
          <w:rFonts w:ascii="Calibri" w:hAnsi="Calibri"/>
          <w:b/>
          <w:i w:val="0"/>
          <w:color w:val="D91023"/>
          <w:sz w:val="26"/>
        </w:rPr>
        <w:t>Contenido</w:t>
      </w:r>
    </w:p>
    <w:p>
      <w:r>
        <w:rPr>
          <w:rFonts w:ascii="Calibri" w:hAnsi="Calibri"/>
          <w:b/>
          <w:i w:val="0"/>
          <w:color w:val="D91023"/>
          <w:sz w:val="20"/>
        </w:rPr>
        <w:t xml:space="preserve">I.  </w:t>
      </w:r>
      <w:r>
        <w:rPr>
          <w:rFonts w:ascii="Calibri" w:hAnsi="Calibri"/>
          <w:b w:val="0"/>
          <w:i w:val="0"/>
          <w:color w:val="1A2238"/>
          <w:sz w:val="20"/>
        </w:rPr>
        <w:t>Síntesis de la situación futura</w:t>
      </w:r>
    </w:p>
    <w:p>
      <w:r>
        <w:rPr>
          <w:rFonts w:ascii="Calibri" w:hAnsi="Calibri"/>
          <w:b/>
          <w:i w:val="0"/>
          <w:color w:val="D91023"/>
          <w:sz w:val="20"/>
        </w:rPr>
        <w:t xml:space="preserve">II.  </w:t>
      </w:r>
      <w:r>
        <w:rPr>
          <w:rFonts w:ascii="Calibri" w:hAnsi="Calibri"/>
          <w:b w:val="0"/>
          <w:i w:val="0"/>
          <w:color w:val="1A2238"/>
          <w:sz w:val="20"/>
        </w:rPr>
        <w:t>Síntesis de la situación actual</w:t>
      </w:r>
    </w:p>
    <w:p>
      <w:r>
        <w:rPr>
          <w:rFonts w:ascii="Calibri" w:hAnsi="Calibri"/>
          <w:b/>
          <w:i w:val="0"/>
          <w:color w:val="D91023"/>
          <w:sz w:val="20"/>
        </w:rPr>
        <w:t xml:space="preserve">III.  </w:t>
      </w:r>
      <w:r>
        <w:rPr>
          <w:rFonts w:ascii="Calibri" w:hAnsi="Calibri"/>
          <w:b w:val="0"/>
          <w:i w:val="0"/>
          <w:color w:val="1A2238"/>
          <w:sz w:val="20"/>
        </w:rPr>
        <w:t>Objetivos estratégicos</w:t>
      </w:r>
    </w:p>
    <w:p>
      <w:r>
        <w:rPr>
          <w:rFonts w:ascii="Calibri" w:hAnsi="Calibri"/>
          <w:b/>
          <w:i w:val="0"/>
          <w:color w:val="D91023"/>
          <w:sz w:val="20"/>
        </w:rPr>
        <w:t xml:space="preserve">IV.  </w:t>
      </w:r>
      <w:r>
        <w:rPr>
          <w:rFonts w:ascii="Calibri" w:hAnsi="Calibri"/>
          <w:b w:val="0"/>
          <w:i w:val="0"/>
          <w:color w:val="1A2238"/>
          <w:sz w:val="20"/>
        </w:rPr>
        <w:t>Acciones estratégicas</w:t>
      </w:r>
    </w:p>
    <w:p>
      <w:r>
        <w:rPr>
          <w:rFonts w:ascii="Calibri" w:hAnsi="Calibri"/>
          <w:b/>
          <w:i w:val="0"/>
          <w:color w:val="D91023"/>
          <w:sz w:val="20"/>
        </w:rPr>
        <w:t xml:space="preserve">V.  </w:t>
      </w:r>
      <w:r>
        <w:rPr>
          <w:rFonts w:ascii="Calibri" w:hAnsi="Calibri"/>
          <w:b w:val="0"/>
          <w:i w:val="0"/>
          <w:color w:val="1A2238"/>
          <w:sz w:val="20"/>
        </w:rPr>
        <w:t>Matriz resumen (indicadores)</w:t>
      </w:r>
    </w:p>
    <w:p>
      <w:r>
        <w:rPr>
          <w:rFonts w:ascii="Calibri" w:hAnsi="Calibri"/>
          <w:b/>
          <w:i w:val="0"/>
          <w:color w:val="D91023"/>
          <w:sz w:val="20"/>
        </w:rPr>
        <w:t xml:space="preserve">VI.  </w:t>
      </w:r>
      <w:r>
        <w:rPr>
          <w:rFonts w:ascii="Calibri" w:hAnsi="Calibri"/>
          <w:b w:val="0"/>
          <w:i w:val="0"/>
          <w:color w:val="1A2238"/>
          <w:sz w:val="20"/>
        </w:rPr>
        <w:t>Hitos de los primeros 100 días de Gobierno</w:t>
      </w:r>
    </w:p>
    <w:p>
      <w:r>
        <w:rPr>
          <w:rFonts w:ascii="Calibri" w:hAnsi="Calibri"/>
          <w:b/>
          <w:i w:val="0"/>
          <w:color w:val="D91023"/>
          <w:sz w:val="26"/>
        </w:rPr>
        <w:t>I · Síntesis de la situación futura</w:t>
      </w:r>
    </w:p>
    <w:p>
      <w:r>
        <w:rPr>
          <w:rFonts w:ascii="Calibri" w:hAnsi="Calibri"/>
          <w:b w:val="0"/>
          <w:i w:val="0"/>
          <w:color w:val="1A2238"/>
          <w:sz w:val="21"/>
        </w:rPr>
        <w:t>Al 2050 el Perú no solo extrae sus recursos, sino que los transforma y compite en los mercados globales con productos de alto valor agregado, emulando el milagro tecnológico de Japón, consolidando un capital humano de élite exportador de conocimiento y entrando al Top 20 de economías mundiales.</w:t>
      </w:r>
    </w:p>
    <w:p>
      <w:r>
        <w:rPr>
          <w:rFonts w:ascii="Calibri" w:hAnsi="Calibri"/>
          <w:b/>
          <w:i w:val="0"/>
          <w:color w:val="D91023"/>
          <w:sz w:val="26"/>
        </w:rPr>
        <w:t>II · Síntesis de la situación actual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Crisis estructural de desarrollo productivo: pese a contar con inmensos recursos, el Perú exporta el 65% de su cobre como mineral crudo, perdiendo la oportunidad de multiplicar su valor en mercados de Alemania, China y Japón.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Sistema educativo fracturado: la SUNEDU solo supervisa el producto final (la universidad) e ignora la 'materia prima' que ingresa desde la educación básica.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Muchos niños sufren problemas de nutrición prenatal que afectan su desarrollo cerebral, y hay alta deserción escolar por necesidad laboral.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Pandemónium en la generación de tesis: los estudiantes eligen temas libres sin relevancia para el país, desperdiciando conocimiento y presupuesto; los graduados terminan subempleados (ej. manejando taxis) por falta de demanda industrial.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No existen verdaderos puentes entre la academia y el mercado; el país carece de empresarios manufactureros e innovación.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La investigación no está institucionalizada y los pocos científicos peruanos migran al extranjero por falta de demanda e infraestructura.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Los proyectos nacionales se conciben de forma aislada, sin enfoque sistémico; falta legislar para obligar a dar valor agregado antes de exportar, como ya hicieron Indonesia, Rusia, Chile y Bolivia para proteger sus recursos (Níquel, Litio, Cobre).</w:t>
      </w:r>
    </w:p>
    <w:p>
      <w:r>
        <w:rPr>
          <w:rFonts w:ascii="Calibri" w:hAnsi="Calibri"/>
          <w:b/>
          <w:i w:val="0"/>
          <w:color w:val="D91023"/>
          <w:sz w:val="26"/>
        </w:rPr>
        <w:t>III · Objetivos estratégicos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Reducir la deserción técnica/estudiantil a 0% mediante validación universitaria y educación a distancia, consolidando un capital humano de élite exportador de conocimiento.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Centralizar el 100% de las tesis en centros de innovación para su comercialización directa a la industria al 2030, con un sistema académico peruano que lidere el registro de patentes y EBTs en Sudamérica.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Lograr que el 80% de la inversión en I+D provenga de empresas privadas (estándar Japón), con todas las universidades clave operando parques de investigación en sus campus.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Reducir drásticamente la exportación de cobre crudo del 65% actual, reemplazándola por componentes de valor agregado, exportando productos tecnológicos y materias primas 100% procesadas a los principales mercados del mundo y entrando al Top 20 de economías mundiales.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Eliminar totalmente el modelo primario exportador extractivista, con complejos operando bajo enfoque sistémico Puerto-Ferrocarril-Industria.</w:t>
      </w:r>
    </w:p>
    <w:p>
      <w:r>
        <w:rPr>
          <w:rFonts w:ascii="Calibri" w:hAnsi="Calibri"/>
          <w:b/>
          <w:i w:val="0"/>
          <w:color w:val="D91023"/>
          <w:sz w:val="26"/>
        </w:rPr>
        <w:t>IV · Acciones estratégicas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Reestructuración del Sistema de Supervisión Educativa (SUNEDU Integral): ampliar las facultades de calidad educativa para auditar insumos y procesos desde inicial, primaria, secundaria e institutos superiores tecnológicos (control de calidad de toda la cadena, modelo Deming).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Programa de Protección Prenatal y Nutrición Temprana: garantizar alimentación y medicina desde la gestación a través de las alcaldías para asegurar el desarrollo cognitivo.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Implementación de educación a distancia y convalidación técnica para ingreso directo a universidades y cobertura digital en zonas mineras/industriales.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Creación del Centro de Coordinación de Tesis de Interés Nacional: norma que obligue a alinear proyectos de grado, maestrías y doctorados con las necesidades de los sectores productivos regionales (minería, agroindustria).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Ley de Fomento de Parques Tecnológicos Universitarios: marco normativo para ceder espacios en universidades públicas destinados a instalar empresas científicas y de innovación (EBT), modelo Stanford Research Park.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Legislación para el Valor Agregado Obligatorio: dispositivos legales que restrinjan o graven la exportación de materia prima bruta, obligando a instalar fundiciones y manufactura local (modelo Indonesia/Bolivia/Chile/Rusia).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Especialización multicultural hacia mercados de alto consumo: incorporación de idiomas estratégicos (chino, japonés, alemán) en zonas industriales exportadoras.</w:t>
      </w:r>
    </w:p>
    <w:p>
      <w:r>
        <w:rPr>
          <w:rFonts w:ascii="Calibri" w:hAnsi="Calibri"/>
          <w:b/>
          <w:i w:val="0"/>
          <w:color w:val="D91023"/>
          <w:sz w:val="26"/>
        </w:rPr>
        <w:t>V · Matriz resumen — indicadores: hoy → meta 2050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56"/>
        <w:gridCol w:w="1656"/>
        <w:gridCol w:w="1656"/>
        <w:gridCol w:w="1656"/>
        <w:gridCol w:w="1656"/>
        <w:gridCol w:w="1656"/>
      </w:tblGrid>
      <w:tr>
        <w:tc>
          <w:tcPr>
            <w:tcW w:type="dxa" w:w="1656"/>
            <w:shd w:fill="D91023"/>
          </w:tcPr>
          <w:p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1656"/>
            <w:shd w:fill="D91023"/>
          </w:tcPr>
          <w:p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Hoy</w:t>
            </w:r>
          </w:p>
        </w:tc>
        <w:tc>
          <w:tcPr>
            <w:tcW w:type="dxa" w:w="1656"/>
            <w:shd w:fill="D91023"/>
          </w:tcPr>
          <w:p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Meta 2050</w:t>
            </w:r>
          </w:p>
        </w:tc>
        <w:tc>
          <w:tcPr>
            <w:tcW w:type="dxa" w:w="1656"/>
            <w:shd w:fill="D91023"/>
          </w:tcPr>
          <w:p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Unidad</w:t>
            </w:r>
          </w:p>
        </w:tc>
        <w:tc>
          <w:tcPr>
            <w:tcW w:type="dxa" w:w="1656"/>
            <w:shd w:fill="D91023"/>
          </w:tcPr>
          <w:p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% avance</w:t>
            </w:r>
          </w:p>
        </w:tc>
        <w:tc>
          <w:tcPr>
            <w:tcW w:type="dxa" w:w="1656"/>
            <w:shd w:fill="D91023"/>
          </w:tcPr>
          <w:p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Fuente</w:t>
            </w:r>
          </w:p>
        </w:tc>
      </w:tr>
      <w:tr>
        <w:tc>
          <w:tcPr>
            <w:tcW w:type="dxa" w:w="1656"/>
          </w:tcPr>
          <w:p>
            <w:r>
              <w:rPr>
                <w:rFonts w:ascii="Calibri" w:hAnsi="Calibri"/>
                <w:b/>
                <w:i w:val="0"/>
                <w:color w:val="1A2238"/>
                <w:sz w:val="16"/>
              </w:rPr>
              <w:t>Inversión en I+D proveniente del sector privado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s/d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80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%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—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Pilar 3 / OE3 / Matriz Resumen (Estándar Japón)</w:t>
            </w:r>
          </w:p>
        </w:tc>
      </w:tr>
      <w:tr>
        <w:tc>
          <w:tcPr>
            <w:tcW w:type="dxa" w:w="1656"/>
          </w:tcPr>
          <w:p>
            <w:r>
              <w:rPr>
                <w:rFonts w:ascii="Calibri" w:hAnsi="Calibri"/>
                <w:b/>
                <w:i w:val="0"/>
                <w:color w:val="1A2238"/>
                <w:sz w:val="16"/>
              </w:rPr>
              <w:t>Exportación de cobre como mineral crudo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65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s/d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%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—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Síntesis de la Situación Actual / OE4</w:t>
            </w:r>
          </w:p>
        </w:tc>
      </w:tr>
      <w:tr>
        <w:tc>
          <w:tcPr>
            <w:tcW w:type="dxa" w:w="1656"/>
          </w:tcPr>
          <w:p>
            <w:r>
              <w:rPr>
                <w:rFonts w:ascii="Calibri" w:hAnsi="Calibri"/>
                <w:b/>
                <w:i w:val="0"/>
                <w:color w:val="1A2238"/>
                <w:sz w:val="16"/>
              </w:rPr>
              <w:t>Reducción de la exportación de cobre bruto (meta intermedia 2030)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s/d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30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%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—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Matriz Resumen, OE4.1 (reducción del 30%)</w:t>
            </w:r>
          </w:p>
        </w:tc>
      </w:tr>
      <w:tr>
        <w:tc>
          <w:tcPr>
            <w:tcW w:type="dxa" w:w="1656"/>
          </w:tcPr>
          <w:p>
            <w:r>
              <w:rPr>
                <w:rFonts w:ascii="Calibri" w:hAnsi="Calibri"/>
                <w:b/>
                <w:i w:val="0"/>
                <w:color w:val="1A2238"/>
                <w:sz w:val="16"/>
              </w:rPr>
              <w:t>Deserción estudiantil por necesidad laboral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s/d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0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%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—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OE1 / Matriz Resumen (0% deserción mediante modalidades remotas)</w:t>
            </w:r>
          </w:p>
        </w:tc>
      </w:tr>
      <w:tr>
        <w:tc>
          <w:tcPr>
            <w:tcW w:type="dxa" w:w="1656"/>
          </w:tcPr>
          <w:p>
            <w:r>
              <w:rPr>
                <w:rFonts w:ascii="Calibri" w:hAnsi="Calibri"/>
                <w:b/>
                <w:i w:val="0"/>
                <w:color w:val="1A2238"/>
                <w:sz w:val="16"/>
              </w:rPr>
              <w:t>Centralización de tesis (pre y posgrado) hacia proyectos industriales (meta intermedia 2030)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s/d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50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%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—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Matriz Resumen, Acción 2.1.1</w:t>
            </w:r>
          </w:p>
        </w:tc>
      </w:tr>
      <w:tr>
        <w:tc>
          <w:tcPr>
            <w:tcW w:type="dxa" w:w="1656"/>
          </w:tcPr>
          <w:p>
            <w:r>
              <w:rPr>
                <w:rFonts w:ascii="Calibri" w:hAnsi="Calibri"/>
                <w:b/>
                <w:i w:val="0"/>
                <w:color w:val="1A2238"/>
                <w:sz w:val="16"/>
              </w:rPr>
              <w:t>Tesis orientadas a resolver demandas reales de empresas y exportación (meta 2040)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s/d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100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%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—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Matriz Resumen, Acción 2.1.1</w:t>
            </w:r>
          </w:p>
        </w:tc>
      </w:tr>
      <w:tr>
        <w:tc>
          <w:tcPr>
            <w:tcW w:type="dxa" w:w="1656"/>
          </w:tcPr>
          <w:p>
            <w:r>
              <w:rPr>
                <w:rFonts w:ascii="Calibri" w:hAnsi="Calibri"/>
                <w:b/>
                <w:i w:val="0"/>
                <w:color w:val="1A2238"/>
                <w:sz w:val="16"/>
              </w:rPr>
              <w:t>Primeros Parques Científicos y Tecnológicos operativos (meta intermedia 2030)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s/d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5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parques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—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Matriz Resumen, OE3.1 (Modelo Stanford)</w:t>
            </w:r>
          </w:p>
        </w:tc>
      </w:tr>
    </w:tbl>
    <w:p>
      <w:r>
        <w:rPr>
          <w:rFonts w:ascii="Calibri" w:hAnsi="Calibri"/>
          <w:b/>
          <w:i w:val="0"/>
          <w:color w:val="D91023"/>
          <w:sz w:val="26"/>
        </w:rPr>
        <w:t>VI · Hitos de los primeros 100 días de Gobierno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Aprobar y promulgar de manera urgente la Política Nacional de Ciencia y Tecnología (ley general transversal basada en el Modelo Japón 1987) que convierta a la Ciencia y Tecnología en la principal herramienta del Estado, fijando metas ambiciosas (Premios Nobel, patentes)</w:t>
      </w:r>
      <w:r>
        <w:rPr>
          <w:rFonts w:ascii="Calibri" w:hAnsi="Calibri"/>
          <w:b w:val="0"/>
          <w:i/>
          <w:color w:val="B8840E"/>
          <w:sz w:val="17"/>
        </w:rPr>
        <w:t xml:space="preserve">  [ley/regulación]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Reestructurar normativamente la SUNEDU modificando la ley de educación para que la supervisión de la calidad audite toda la cadena de valor educativo ('como una faja industrial'), desde la cuna y no solo el pre y posgrado</w:t>
      </w:r>
      <w:r>
        <w:rPr>
          <w:rFonts w:ascii="Calibri" w:hAnsi="Calibri"/>
          <w:b w:val="0"/>
          <w:i/>
          <w:color w:val="B8840E"/>
          <w:sz w:val="17"/>
        </w:rPr>
        <w:t xml:space="preserve">  [ley/regulación (orientación)]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Presentar y enviar al Congreso el Proyecto de Ley de Restricción Gradual a la Exportación de Materia Prima Cruda, que obligue en plazos definidos a que los contratos mineros incorporen cuotas de industrialización y fundición local antes de exportar a mercados de Asia y Europa</w:t>
      </w:r>
      <w:r>
        <w:rPr>
          <w:rFonts w:ascii="Calibri" w:hAnsi="Calibri"/>
          <w:b w:val="0"/>
          <w:i/>
          <w:color w:val="B8840E"/>
          <w:sz w:val="17"/>
        </w:rPr>
        <w:t xml:space="preserve">  [ley/regulación]</w:t>
      </w:r>
    </w:p>
    <w:p>
      <w:r>
        <w:rPr>
          <w:rFonts w:ascii="Calibri" w:hAnsi="Calibri"/>
          <w:b/>
          <w:i w:val="0"/>
          <w:color w:val="D91023"/>
          <w:sz w:val="26"/>
        </w:rPr>
        <w:t>Pilares de la estrategia</w:t>
      </w:r>
    </w:p>
    <w:p>
      <w:r>
        <w:rPr>
          <w:rFonts w:ascii="Calibri" w:hAnsi="Calibri"/>
          <w:b/>
          <w:i w:val="0"/>
          <w:color w:val="1A2238"/>
          <w:sz w:val="21"/>
        </w:rPr>
        <w:t xml:space="preserve">Cadena de valor educativo: </w:t>
      </w:r>
      <w:r>
        <w:rPr>
          <w:rFonts w:ascii="Calibri" w:hAnsi="Calibri"/>
          <w:b w:val="0"/>
          <w:i w:val="0"/>
          <w:color w:val="1A2238"/>
          <w:sz w:val="21"/>
        </w:rPr>
        <w:t>Enfoque industrial aplicado a la educación que inicia en la etapa prenatal y se extiende hasta el posgrado, asegurando la formación del capital humano, con control de calidad (SUNEDU) en cada etapa del proceso y no solo al final.</w:t>
      </w:r>
    </w:p>
    <w:p>
      <w:r>
        <w:rPr>
          <w:rFonts w:ascii="Calibri" w:hAnsi="Calibri"/>
          <w:b/>
          <w:i w:val="0"/>
          <w:color w:val="1A2238"/>
          <w:sz w:val="21"/>
        </w:rPr>
        <w:t xml:space="preserve">Universidades del conocimiento: </w:t>
      </w:r>
      <w:r>
        <w:rPr>
          <w:rFonts w:ascii="Calibri" w:hAnsi="Calibri"/>
          <w:b w:val="0"/>
          <w:i w:val="0"/>
          <w:color w:val="1A2238"/>
          <w:sz w:val="21"/>
        </w:rPr>
        <w:t>Transformación de las universidades en centros de investigación y generación de conocimiento orientados a la demanda nacional e industrial, abandonando la proliferación de tesis desconectadas de la realidad; universidades como 'fábricas' de conocimiento y de empresarios.</w:t>
      </w:r>
    </w:p>
    <w:p>
      <w:r>
        <w:rPr>
          <w:rFonts w:ascii="Calibri" w:hAnsi="Calibri"/>
          <w:b/>
          <w:i w:val="0"/>
          <w:color w:val="1A2238"/>
          <w:sz w:val="21"/>
        </w:rPr>
        <w:t xml:space="preserve">Parques científicos y tecnológicos: </w:t>
      </w:r>
      <w:r>
        <w:rPr>
          <w:rFonts w:ascii="Calibri" w:hAnsi="Calibri"/>
          <w:b w:val="0"/>
          <w:i w:val="0"/>
          <w:color w:val="1A2238"/>
          <w:sz w:val="21"/>
        </w:rPr>
        <w:t>Creación de puentes entre la academia y el mercado mediante centros de innovación dentro de las universidades (modelo Stanford Research Park, 1951) para formar Empresas de Base Tecnológica (EBT).</w:t>
      </w:r>
    </w:p>
    <w:p>
      <w:r>
        <w:rPr>
          <w:rFonts w:ascii="Calibri" w:hAnsi="Calibri"/>
          <w:b/>
          <w:i w:val="0"/>
          <w:color w:val="1A2238"/>
          <w:sz w:val="21"/>
        </w:rPr>
        <w:t xml:space="preserve">Parques industriales y exportación sistémica: </w:t>
      </w:r>
      <w:r>
        <w:rPr>
          <w:rFonts w:ascii="Calibri" w:hAnsi="Calibri"/>
          <w:b w:val="0"/>
          <w:i w:val="0"/>
          <w:color w:val="1A2238"/>
          <w:sz w:val="21"/>
        </w:rPr>
        <w:t>Desarrollo de manufactura con valor agregado dirigida a mercados internacionales específicos (China, Japón, Alemania), aplicando planeamiento sistémico (Ingeniería de Sistemas) e integrando parque industrial con universidad, ferrocarril y puerto (ej. Chancay, polos mineros; modelo Mánchester 1896).</w:t>
      </w:r>
    </w:p>
    <w:p>
      <w:r>
        <w:rPr>
          <w:rFonts w:ascii="Calibri" w:hAnsi="Calibri"/>
          <w:b/>
          <w:i w:val="0"/>
          <w:color w:val="D91023"/>
          <w:sz w:val="26"/>
        </w:rPr>
        <w:t>Recomendación de política</w:t>
      </w:r>
    </w:p>
    <w:p>
      <w:r>
        <w:rPr>
          <w:rFonts w:ascii="Calibri" w:hAnsi="Calibri"/>
          <w:b w:val="0"/>
          <w:i w:val="0"/>
          <w:color w:val="1A2238"/>
          <w:sz w:val="21"/>
        </w:rPr>
        <w:t>Aprobar de manera urgente una Política Nacional de Ciencia y Tecnología (basada en el Modelo Japón 1987) mediante una ley general transversal que convierta a la Ciencia y Tecnología en la principal herramienta del Estado, fijando metas ambiciosas (Premios Nobel, patentes), pues es indispensable para orientar el resto del presupuesto nacional.</w:t>
      </w:r>
    </w:p>
    <w:p/>
    <w:p>
      <w:r>
        <w:rPr>
          <w:rFonts w:ascii="Calibri" w:hAnsi="Calibri"/>
          <w:b w:val="0"/>
          <w:i/>
          <w:color w:val="5D6B88"/>
          <w:sz w:val="15"/>
        </w:rPr>
        <w:t>Documento potenciado a partir de la redacción de la comisión. Las cifras provienen del documento fuente y están sujetas a validación oficial. La silueta territorial es referencial.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