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B8840E"/>
          <w:sz w:val="22"/>
        </w:rPr>
        <w:t>PLAN PERÚ 2050</w:t>
      </w:r>
      <w:r>
        <w:br/>
      </w:r>
      <w:r>
        <w:rPr>
          <w:rFonts w:ascii="Calibri" w:hAnsi="Calibri"/>
          <w:b w:val="0"/>
          <w:i w:val="0"/>
          <w:color w:val="5D6B88"/>
          <w:sz w:val="18"/>
        </w:rPr>
        <w:t>Comisión Temática Nacional · CNPP — Colegio de Ingenieros del Perú</w:t>
      </w:r>
    </w:p>
    <w:p>
      <w:r>
        <w:rPr>
          <w:rFonts w:ascii="Calibri" w:hAnsi="Calibri"/>
          <w:b/>
          <w:i w:val="0"/>
          <w:color w:val="D91023"/>
          <w:sz w:val="48"/>
        </w:rPr>
        <w:t>Infraestructura y Construcción</w:t>
      </w:r>
    </w:p>
    <w:p>
      <w:r>
        <w:rPr>
          <w:rFonts w:ascii="Calibri" w:hAnsi="Calibri"/>
          <w:b w:val="0"/>
          <w:i/>
          <w:color w:val="5D6B88"/>
          <w:sz w:val="21"/>
        </w:rPr>
        <w:t>Eje estratégico: Infraestructura y Conectividad</w:t>
      </w:r>
    </w:p>
    <w:p>
      <w:r>
        <w:rPr>
          <w:rFonts w:ascii="Calibri" w:hAnsi="Calibri"/>
          <w:b w:val="0"/>
          <w:i w:val="0"/>
          <w:color w:val="1A2238"/>
          <w:sz w:val="23"/>
        </w:rPr>
        <w:t>Informe de la Comisión de Infraestructura del Plan Perú (horizonte 2040), basado en el estudio del IPE sobre la brecha de inversión en infraestructura. Estima la inversión que el país requiere para alcanzar una infraestructura competitiva en la región (transportes, electricidad y gas, saneamiento y telecomunicaciones) y propone objetivos de red vial, carreteras asfaltadas y ferrocarriles al 2040.</w:t>
      </w:r>
    </w:p>
    <w:p>
      <w:r>
        <w:rPr>
          <w:rFonts w:ascii="Calibri" w:hAnsi="Calibri"/>
          <w:b/>
          <w:i w:val="0"/>
          <w:color w:val="D91023"/>
          <w:sz w:val="26"/>
        </w:rPr>
        <w:t>Síntesis cuantitativa</w:t>
      </w:r>
    </w:p>
    <w:tbl>
      <w:tblPr>
        <w:tblW w:type="auto" w:w="0"/>
        <w:jc w:val="center"/>
        <w:tblLook w:firstColumn="1" w:firstRow="1" w:lastColumn="0" w:lastRow="0" w:noHBand="0" w:noVBand="1" w:val="04A0"/>
      </w:tblPr>
      <w:tblGrid>
        <w:gridCol w:w="2484"/>
        <w:gridCol w:w="2484"/>
        <w:gridCol w:w="2484"/>
        <w:gridCol w:w="2484"/>
      </w:tblGrid>
      <w:tr>
        <w:tc>
          <w:tcPr>
            <w:tcW w:type="dxa" w:w="2484"/>
            <w:shd w:fill="F4F6FB"/>
          </w:tcPr>
          <w:p>
            <w:pPr>
              <w:jc w:val="center"/>
            </w:pPr>
            <w:r>
              <w:rPr>
                <w:rFonts w:ascii="Calibri" w:hAnsi="Calibri"/>
                <w:b/>
                <w:i w:val="0"/>
                <w:color w:val="D91023"/>
                <w:sz w:val="36"/>
              </w:rPr>
              <w:t>12</w:t>
              <w:br/>
            </w:r>
            <w:r>
              <w:rPr>
                <w:rFonts w:ascii="Calibri" w:hAnsi="Calibri"/>
                <w:b w:val="0"/>
                <w:i w:val="0"/>
                <w:color w:val="5D6B88"/>
                <w:sz w:val="17"/>
              </w:rPr>
              <w:t>Indicadores</w:t>
            </w:r>
          </w:p>
        </w:tc>
        <w:tc>
          <w:tcPr>
            <w:tcW w:type="dxa" w:w="2484"/>
            <w:shd w:fill="F4F6FB"/>
          </w:tcPr>
          <w:p>
            <w:pPr>
              <w:jc w:val="center"/>
            </w:pPr>
            <w:r>
              <w:rPr>
                <w:rFonts w:ascii="Calibri" w:hAnsi="Calibri"/>
                <w:b/>
                <w:i w:val="0"/>
                <w:color w:val="D91023"/>
                <w:sz w:val="36"/>
              </w:rPr>
              <w:t>3</w:t>
              <w:br/>
            </w:r>
            <w:r>
              <w:rPr>
                <w:rFonts w:ascii="Calibri" w:hAnsi="Calibri"/>
                <w:b w:val="0"/>
                <w:i w:val="0"/>
                <w:color w:val="5D6B88"/>
                <w:sz w:val="17"/>
              </w:rPr>
              <w:t>Pilares</w:t>
            </w:r>
          </w:p>
        </w:tc>
        <w:tc>
          <w:tcPr>
            <w:tcW w:type="dxa" w:w="2484"/>
            <w:shd w:fill="F4F6FB"/>
          </w:tcPr>
          <w:p>
            <w:pPr>
              <w:jc w:val="center"/>
            </w:pPr>
            <w:r>
              <w:rPr>
                <w:rFonts w:ascii="Calibri" w:hAnsi="Calibri"/>
                <w:b/>
                <w:i w:val="0"/>
                <w:color w:val="D91023"/>
                <w:sz w:val="36"/>
              </w:rPr>
              <w:t>7</w:t>
              <w:br/>
            </w:r>
            <w:r>
              <w:rPr>
                <w:rFonts w:ascii="Calibri" w:hAnsi="Calibri"/>
                <w:b w:val="0"/>
                <w:i w:val="0"/>
                <w:color w:val="5D6B88"/>
                <w:sz w:val="17"/>
              </w:rPr>
              <w:t>Objetivos</w:t>
            </w:r>
          </w:p>
        </w:tc>
        <w:tc>
          <w:tcPr>
            <w:tcW w:type="dxa" w:w="2484"/>
            <w:shd w:fill="F4F6FB"/>
          </w:tcPr>
          <w:p>
            <w:pPr>
              <w:jc w:val="center"/>
            </w:pPr>
            <w:r>
              <w:rPr>
                <w:rFonts w:ascii="Calibri" w:hAnsi="Calibri"/>
                <w:b/>
                <w:i w:val="0"/>
                <w:color w:val="D91023"/>
                <w:sz w:val="36"/>
              </w:rPr>
              <w:t>27%</w:t>
              <w:br/>
            </w:r>
            <w:r>
              <w:rPr>
                <w:rFonts w:ascii="Calibri" w:hAnsi="Calibri"/>
                <w:b w:val="0"/>
                <w:i w:val="0"/>
                <w:color w:val="5D6B88"/>
                <w:sz w:val="17"/>
              </w:rPr>
              <w:t>Avance estimado</w:t>
            </w:r>
          </w:p>
        </w:tc>
      </w:tr>
    </w:tbl>
    <w:p>
      <w:r>
        <w:rPr>
          <w:rFonts w:ascii="Calibri" w:hAnsi="Calibri"/>
          <w:b/>
          <w:i w:val="0"/>
          <w:color w:val="D91023"/>
          <w:sz w:val="26"/>
        </w:rPr>
        <w:t>Contenido</w:t>
      </w:r>
    </w:p>
    <w:p>
      <w:r>
        <w:rPr>
          <w:rFonts w:ascii="Calibri" w:hAnsi="Calibri"/>
          <w:b/>
          <w:i w:val="0"/>
          <w:color w:val="D91023"/>
          <w:sz w:val="20"/>
        </w:rPr>
        <w:t xml:space="preserve">I.  </w:t>
      </w:r>
      <w:r>
        <w:rPr>
          <w:rFonts w:ascii="Calibri" w:hAnsi="Calibri"/>
          <w:b w:val="0"/>
          <w:i w:val="0"/>
          <w:color w:val="1A2238"/>
          <w:sz w:val="20"/>
        </w:rPr>
        <w:t>Síntesis de la situación futura</w:t>
      </w:r>
    </w:p>
    <w:p>
      <w:r>
        <w:rPr>
          <w:rFonts w:ascii="Calibri" w:hAnsi="Calibri"/>
          <w:b/>
          <w:i w:val="0"/>
          <w:color w:val="D91023"/>
          <w:sz w:val="20"/>
        </w:rPr>
        <w:t xml:space="preserve">II.  </w:t>
      </w:r>
      <w:r>
        <w:rPr>
          <w:rFonts w:ascii="Calibri" w:hAnsi="Calibri"/>
          <w:b w:val="0"/>
          <w:i w:val="0"/>
          <w:color w:val="1A2238"/>
          <w:sz w:val="20"/>
        </w:rPr>
        <w:t>Síntesis de la situación actual</w:t>
      </w:r>
    </w:p>
    <w:p>
      <w:r>
        <w:rPr>
          <w:rFonts w:ascii="Calibri" w:hAnsi="Calibri"/>
          <w:b/>
          <w:i w:val="0"/>
          <w:color w:val="D91023"/>
          <w:sz w:val="20"/>
        </w:rPr>
        <w:t xml:space="preserve">III.  </w:t>
      </w:r>
      <w:r>
        <w:rPr>
          <w:rFonts w:ascii="Calibri" w:hAnsi="Calibri"/>
          <w:b w:val="0"/>
          <w:i w:val="0"/>
          <w:color w:val="1A2238"/>
          <w:sz w:val="20"/>
        </w:rPr>
        <w:t>Objetivos estratégicos</w:t>
      </w:r>
    </w:p>
    <w:p>
      <w:r>
        <w:rPr>
          <w:rFonts w:ascii="Calibri" w:hAnsi="Calibri"/>
          <w:b/>
          <w:i w:val="0"/>
          <w:color w:val="D91023"/>
          <w:sz w:val="20"/>
        </w:rPr>
        <w:t xml:space="preserve">IV.  </w:t>
      </w:r>
      <w:r>
        <w:rPr>
          <w:rFonts w:ascii="Calibri" w:hAnsi="Calibri"/>
          <w:b w:val="0"/>
          <w:i w:val="0"/>
          <w:color w:val="1A2238"/>
          <w:sz w:val="20"/>
        </w:rPr>
        <w:t>Acciones estratégicas</w:t>
      </w:r>
    </w:p>
    <w:p>
      <w:r>
        <w:rPr>
          <w:rFonts w:ascii="Calibri" w:hAnsi="Calibri"/>
          <w:b/>
          <w:i w:val="0"/>
          <w:color w:val="D91023"/>
          <w:sz w:val="20"/>
        </w:rPr>
        <w:t xml:space="preserve">V.  </w:t>
      </w:r>
      <w:r>
        <w:rPr>
          <w:rFonts w:ascii="Calibri" w:hAnsi="Calibri"/>
          <w:b w:val="0"/>
          <w:i w:val="0"/>
          <w:color w:val="1A2238"/>
          <w:sz w:val="20"/>
        </w:rPr>
        <w:t>Matriz resumen (indicadores)</w:t>
      </w:r>
    </w:p>
    <w:p>
      <w:r>
        <w:rPr>
          <w:rFonts w:ascii="Calibri" w:hAnsi="Calibri"/>
          <w:b/>
          <w:i w:val="0"/>
          <w:color w:val="D91023"/>
          <w:sz w:val="20"/>
        </w:rPr>
        <w:t xml:space="preserve">VI.  </w:t>
      </w:r>
      <w:r>
        <w:rPr>
          <w:rFonts w:ascii="Calibri" w:hAnsi="Calibri"/>
          <w:b w:val="0"/>
          <w:i w:val="0"/>
          <w:color w:val="1A2238"/>
          <w:sz w:val="20"/>
        </w:rPr>
        <w:t>Hitos de los primeros 100 días de Gobierno</w:t>
      </w:r>
    </w:p>
    <w:p>
      <w:r>
        <w:rPr>
          <w:rFonts w:ascii="Calibri" w:hAnsi="Calibri"/>
          <w:b/>
          <w:i w:val="0"/>
          <w:color w:val="D91023"/>
          <w:sz w:val="20"/>
        </w:rPr>
        <w:t xml:space="preserve">VII.  </w:t>
      </w:r>
      <w:r>
        <w:rPr>
          <w:rFonts w:ascii="Calibri" w:hAnsi="Calibri"/>
          <w:b w:val="0"/>
          <w:i w:val="0"/>
          <w:color w:val="1A2238"/>
          <w:sz w:val="20"/>
        </w:rPr>
        <w:t>Articulación con el Acuerdo Nacional y el PEDN al 2050</w:t>
      </w:r>
    </w:p>
    <w:p>
      <w:r>
        <w:rPr>
          <w:rFonts w:ascii="Calibri" w:hAnsi="Calibri"/>
          <w:b/>
          <w:i w:val="0"/>
          <w:color w:val="D91023"/>
          <w:sz w:val="26"/>
        </w:rPr>
        <w:t>I · Síntesis de la situación futura</w:t>
      </w:r>
    </w:p>
    <w:p>
      <w:r>
        <w:rPr>
          <w:rFonts w:ascii="Calibri" w:hAnsi="Calibri"/>
          <w:b w:val="0"/>
          <w:i w:val="0"/>
          <w:color w:val="1A2238"/>
          <w:sz w:val="21"/>
        </w:rPr>
        <w:t>En el año 2040 el Perú debe lograr una infraestructura de tal calidad que sea el motor para atraer otras inversiones al país y el mejor estímulo a su desarrollo: que integre eficazmente a la población, promueva su desarrollo económico en forma sostenible, eleve la calidad de vida de las personas y contribuya a que el Perú sea el país más competitivo de América Latina. Se aspira a un país con un Sistema de Planificación de Infraestructura que optimice los costos logísticos; una infraestructura vial que integre al país y contribuya a la competitividad y al desarrollo descentralizado; institucionalidad implantada para el desarrollo y la gestión de la infraestructura; dos puertos hub en el Pacífico y un aeropuerto hub; y cuatro zonas de actividad logística (Norte, Centro, Sur y Oriente del país).</w:t>
      </w:r>
    </w:p>
    <w:p>
      <w:r>
        <w:rPr>
          <w:rFonts w:ascii="Calibri" w:hAnsi="Calibri"/>
          <w:b/>
          <w:i w:val="0"/>
          <w:color w:val="D91023"/>
          <w:sz w:val="26"/>
        </w:rPr>
        <w:t>II · Síntesis de la situación actual</w:t>
      </w:r>
    </w:p>
    <w:p>
      <w:pPr>
        <w:pStyle w:val="ListBullet"/>
      </w:pPr>
      <w:r>
        <w:rPr>
          <w:rFonts w:ascii="Calibri" w:hAnsi="Calibri"/>
          <w:b w:val="0"/>
          <w:i w:val="0"/>
          <w:color w:val="1A2238"/>
          <w:sz w:val="21"/>
        </w:rPr>
        <w:t>Brecha total de infraestructura al 2008 estimada por el IPE en US$ 37,760 millones, aproximadamente 30% del PBI (frente a US$ 22,879 millones estimados en 2005).</w:t>
      </w:r>
    </w:p>
    <w:p>
      <w:pPr>
        <w:pStyle w:val="ListBullet"/>
      </w:pPr>
      <w:r>
        <w:rPr>
          <w:rFonts w:ascii="Calibri" w:hAnsi="Calibri"/>
          <w:b w:val="0"/>
          <w:i w:val="0"/>
          <w:color w:val="1A2238"/>
          <w:sz w:val="21"/>
        </w:rPr>
        <w:t>El sector Transportes concentra el mayor monto de la brecha: US$ 13,961 millones (37.0% del total), por el atraso en la entrega de proyectos y la insuficiencia de inversión pública.</w:t>
      </w:r>
    </w:p>
    <w:p>
      <w:pPr>
        <w:pStyle w:val="ListBullet"/>
      </w:pPr>
      <w:r>
        <w:rPr>
          <w:rFonts w:ascii="Calibri" w:hAnsi="Calibri"/>
          <w:b w:val="0"/>
          <w:i w:val="0"/>
          <w:color w:val="1A2238"/>
          <w:sz w:val="21"/>
        </w:rPr>
        <w:t>Electricidad y gas natural representan el segundo componente de la brecha (US$ 8,326 millones de electricidad, 22.0%, más US$ 3,721 millones de gas natural, 9.9%), por una demanda de energía mayor a la esperada.</w:t>
      </w:r>
    </w:p>
    <w:p>
      <w:pPr>
        <w:pStyle w:val="ListBullet"/>
      </w:pPr>
      <w:r>
        <w:rPr>
          <w:rFonts w:ascii="Calibri" w:hAnsi="Calibri"/>
          <w:b w:val="0"/>
          <w:i w:val="0"/>
          <w:color w:val="1A2238"/>
          <w:sz w:val="21"/>
        </w:rPr>
        <w:t>Saneamiento representa una brecha de US$ 6,306 millones (16.7% del total).</w:t>
      </w:r>
    </w:p>
    <w:p>
      <w:pPr>
        <w:pStyle w:val="ListBullet"/>
      </w:pPr>
      <w:r>
        <w:rPr>
          <w:rFonts w:ascii="Calibri" w:hAnsi="Calibri"/>
          <w:b w:val="0"/>
          <w:i w:val="0"/>
          <w:color w:val="1A2238"/>
          <w:sz w:val="21"/>
        </w:rPr>
        <w:t>Telecomunicaciones es la menor brecha relativa, con US$ 5,446 millones (14.4%).</w:t>
      </w:r>
    </w:p>
    <w:p>
      <w:pPr>
        <w:pStyle w:val="ListBullet"/>
      </w:pPr>
      <w:r>
        <w:rPr>
          <w:rFonts w:ascii="Calibri" w:hAnsi="Calibri"/>
          <w:b w:val="0"/>
          <w:i w:val="0"/>
          <w:color w:val="1A2238"/>
          <w:sz w:val="21"/>
        </w:rPr>
        <w:t>El Perú está rezagado en infraestructura vial: la red asciende a 78,687 km, pero solo 14% (unos 11,016 km) están asfaltadas, uno de los porcentajes más bajos de la región (solo supera a Brasil y Bolivia).</w:t>
      </w:r>
    </w:p>
    <w:p>
      <w:pPr>
        <w:pStyle w:val="ListBullet"/>
      </w:pPr>
      <w:r>
        <w:rPr>
          <w:rFonts w:ascii="Calibri" w:hAnsi="Calibri"/>
          <w:b w:val="0"/>
          <w:i w:val="0"/>
          <w:color w:val="1A2238"/>
          <w:sz w:val="21"/>
        </w:rPr>
        <w:t>Baja densidad vial: 8.8 km de carreteras asfaltadas por cada mil km2 de territorio, superando en la región únicamente a Bolivia; y baja red asfaltada per cápita (uno de los niveles más bajos de la región).</w:t>
      </w:r>
    </w:p>
    <w:p>
      <w:pPr>
        <w:pStyle w:val="ListBullet"/>
      </w:pPr>
      <w:r>
        <w:rPr>
          <w:rFonts w:ascii="Calibri" w:hAnsi="Calibri"/>
          <w:b w:val="0"/>
          <w:i w:val="0"/>
          <w:color w:val="1A2238"/>
          <w:sz w:val="21"/>
        </w:rPr>
        <w:t>Mantenimiento vial deficiente: solo 34% de la red recibe algún tipo de conservación y únicamente 12.5% mantenimiento permanente; al 2006 solo 34% de la Red Vial Nacional asfaltada estaba en buen estado.</w:t>
      </w:r>
    </w:p>
    <w:p>
      <w:pPr>
        <w:pStyle w:val="ListBullet"/>
      </w:pPr>
      <w:r>
        <w:rPr>
          <w:rFonts w:ascii="Calibri" w:hAnsi="Calibri"/>
          <w:b w:val="0"/>
          <w:i w:val="0"/>
          <w:color w:val="1A2238"/>
          <w:sz w:val="21"/>
        </w:rPr>
        <w:t>Pérdida estimada de US$ 718 millones en rehabilitación de 1,357 km de carreteras (1992-2005) por falta de una política coherente de mantenimiento.</w:t>
      </w:r>
    </w:p>
    <w:p>
      <w:pPr>
        <w:pStyle w:val="ListBullet"/>
      </w:pPr>
      <w:r>
        <w:rPr>
          <w:rFonts w:ascii="Calibri" w:hAnsi="Calibri"/>
          <w:b w:val="0"/>
          <w:i w:val="0"/>
          <w:color w:val="1A2238"/>
          <w:sz w:val="21"/>
        </w:rPr>
        <w:t>Infraestructura portuaria deficiente: el Perú obtuvo un puntaje de 2.3 sobre 7 (puesto 127) en calidad portuaria del Global Competitiveness Report 2008-2009, frente a Chile (4.9, puesto 37); el Callao concentra un único gran puerto y genera cuellos de botella.</w:t>
      </w:r>
    </w:p>
    <w:p>
      <w:pPr>
        <w:pStyle w:val="ListBullet"/>
      </w:pPr>
      <w:r>
        <w:rPr>
          <w:rFonts w:ascii="Calibri" w:hAnsi="Calibri"/>
          <w:b w:val="0"/>
          <w:i w:val="0"/>
          <w:color w:val="1A2238"/>
          <w:sz w:val="21"/>
        </w:rPr>
        <w:t>Infraestructura aeroportuaria en el puesto 94 de 134 países, con puntaje 3.9 sobre 7, afectada por sucesivas postergaciones de las concesiones.</w:t>
      </w:r>
    </w:p>
    <w:p>
      <w:pPr>
        <w:pStyle w:val="ListBullet"/>
      </w:pPr>
      <w:r>
        <w:rPr>
          <w:rFonts w:ascii="Calibri" w:hAnsi="Calibri"/>
          <w:b w:val="0"/>
          <w:i w:val="0"/>
          <w:color w:val="1A2238"/>
          <w:sz w:val="21"/>
        </w:rPr>
        <w:t>Bajo desarrollo ferroviario: red de solo 2,021 km (1,927 km al 2008), una de las menores de la región; densidad de 1.57 km de vía férrea por mil km2, seis veces menor a la chilena; puntaje 1.72 sobre 7 (puesto 90 de 100) en calidad ferroviaria.</w:t>
      </w:r>
    </w:p>
    <w:p>
      <w:pPr>
        <w:pStyle w:val="ListBullet"/>
      </w:pPr>
      <w:r>
        <w:rPr>
          <w:rFonts w:ascii="Calibri" w:hAnsi="Calibri"/>
          <w:b w:val="0"/>
          <w:i w:val="0"/>
          <w:color w:val="1A2238"/>
          <w:sz w:val="21"/>
        </w:rPr>
        <w:t>FODA: Fortalezas (abundantes recursos naturales y ubicación geográfica entre Sudamérica y Asia; amplio patrimonio histórico). Oportunidades (TLC con 75% de la economía mundial, estabilidad macroeconómica, recursos por explotar, financiamiento público-privado). Debilidades (infraestructura insuficiente, redes de telecomunicaciones que no conectan todo el país, débil sistema de planificación, débil capacidad de gestión regional). Amenazas (pérdida de competitividad, dificultad de financiamiento).</w:t>
      </w:r>
    </w:p>
    <w:p>
      <w:r>
        <w:rPr>
          <w:rFonts w:ascii="Calibri" w:hAnsi="Calibri"/>
          <w:b/>
          <w:i w:val="0"/>
          <w:color w:val="D91023"/>
          <w:sz w:val="26"/>
        </w:rPr>
        <w:t>III · Objetivos estratégicos</w:t>
      </w:r>
    </w:p>
    <w:p>
      <w:pPr>
        <w:pStyle w:val="ListBullet"/>
      </w:pPr>
      <w:r>
        <w:rPr>
          <w:rFonts w:ascii="Calibri" w:hAnsi="Calibri"/>
          <w:b w:val="0"/>
          <w:i w:val="0"/>
          <w:color w:val="1A2238"/>
          <w:sz w:val="21"/>
        </w:rPr>
        <w:t>Diseñar e implementar un sistema de planificación multimodal de la infraestructura de transporte para optimizar los costos logísticos.</w:t>
      </w:r>
    </w:p>
    <w:p>
      <w:pPr>
        <w:pStyle w:val="ListBullet"/>
      </w:pPr>
      <w:r>
        <w:rPr>
          <w:rFonts w:ascii="Calibri" w:hAnsi="Calibri"/>
          <w:b w:val="0"/>
          <w:i w:val="0"/>
          <w:color w:val="1A2238"/>
          <w:sz w:val="21"/>
        </w:rPr>
        <w:t>Ejecutar las obras que permitan contar con las redes viales, ferrocarriles, hidrovías, puertos y aeropuertos que integren a las poblaciones y contribuyan a la competitividad.</w:t>
      </w:r>
    </w:p>
    <w:p>
      <w:pPr>
        <w:pStyle w:val="ListBullet"/>
      </w:pPr>
      <w:r>
        <w:rPr>
          <w:rFonts w:ascii="Calibri" w:hAnsi="Calibri"/>
          <w:b w:val="0"/>
          <w:i w:val="0"/>
          <w:color w:val="1A2238"/>
          <w:sz w:val="21"/>
        </w:rPr>
        <w:t>Contar con un sistema de mantenimiento y de modernización permanente de la infraestructura.</w:t>
      </w:r>
    </w:p>
    <w:p>
      <w:pPr>
        <w:pStyle w:val="ListBullet"/>
      </w:pPr>
      <w:r>
        <w:rPr>
          <w:rFonts w:ascii="Calibri" w:hAnsi="Calibri"/>
          <w:b w:val="0"/>
          <w:i w:val="0"/>
          <w:color w:val="1A2238"/>
          <w:sz w:val="21"/>
        </w:rPr>
        <w:t>Reformar la normatividad para contar con la institucionalidad que requiere el desarrollo y la gestión de la infraestructura.</w:t>
      </w:r>
    </w:p>
    <w:p>
      <w:pPr>
        <w:pStyle w:val="ListBullet"/>
      </w:pPr>
      <w:r>
        <w:rPr>
          <w:rFonts w:ascii="Calibri" w:hAnsi="Calibri"/>
          <w:b w:val="0"/>
          <w:i w:val="0"/>
          <w:color w:val="1A2238"/>
          <w:sz w:val="21"/>
        </w:rPr>
        <w:t>Apoyar la creación de un hub de puertos y aeropuertos del Pacífico Sur.</w:t>
      </w:r>
    </w:p>
    <w:p>
      <w:pPr>
        <w:pStyle w:val="ListBullet"/>
      </w:pPr>
      <w:r>
        <w:rPr>
          <w:rFonts w:ascii="Calibri" w:hAnsi="Calibri"/>
          <w:b w:val="0"/>
          <w:i w:val="0"/>
          <w:color w:val="1A2238"/>
          <w:sz w:val="21"/>
        </w:rPr>
        <w:t>Contribuir a la creación de zonas de actividades logísticas.</w:t>
      </w:r>
    </w:p>
    <w:p>
      <w:pPr>
        <w:pStyle w:val="ListBullet"/>
      </w:pPr>
      <w:r>
        <w:rPr>
          <w:rFonts w:ascii="Calibri" w:hAnsi="Calibri"/>
          <w:b w:val="0"/>
          <w:i w:val="0"/>
          <w:color w:val="1A2238"/>
          <w:sz w:val="21"/>
        </w:rPr>
        <w:t>Crear las condiciones para generar un ordenamiento territorial.</w:t>
      </w:r>
    </w:p>
    <w:p>
      <w:r>
        <w:rPr>
          <w:rFonts w:ascii="Calibri" w:hAnsi="Calibri"/>
          <w:b/>
          <w:i w:val="0"/>
          <w:color w:val="D91023"/>
          <w:sz w:val="26"/>
        </w:rPr>
        <w:t>IV · Acciones estratégicas</w:t>
      </w:r>
    </w:p>
    <w:p>
      <w:pPr>
        <w:pStyle w:val="ListBullet"/>
      </w:pPr>
      <w:r>
        <w:rPr>
          <w:rFonts w:ascii="Calibri" w:hAnsi="Calibri"/>
          <w:b w:val="0"/>
          <w:i w:val="0"/>
          <w:color w:val="1A2238"/>
          <w:sz w:val="21"/>
        </w:rPr>
        <w:t>Implementar el Sistema de Planificación de la Infraestructura.</w:t>
      </w:r>
    </w:p>
    <w:p>
      <w:pPr>
        <w:pStyle w:val="ListBullet"/>
      </w:pPr>
      <w:r>
        <w:rPr>
          <w:rFonts w:ascii="Calibri" w:hAnsi="Calibri"/>
          <w:b w:val="0"/>
          <w:i w:val="0"/>
          <w:color w:val="1A2238"/>
          <w:sz w:val="21"/>
        </w:rPr>
        <w:t>Definir la asignación de las competencias sobre la infraestructura.</w:t>
      </w:r>
    </w:p>
    <w:p>
      <w:pPr>
        <w:pStyle w:val="ListBullet"/>
      </w:pPr>
      <w:r>
        <w:rPr>
          <w:rFonts w:ascii="Calibri" w:hAnsi="Calibri"/>
          <w:b w:val="0"/>
          <w:i w:val="0"/>
          <w:color w:val="1A2238"/>
          <w:sz w:val="21"/>
        </w:rPr>
        <w:t>Incrementar el presupuesto de inversión pública en infraestructura.</w:t>
      </w:r>
    </w:p>
    <w:p>
      <w:pPr>
        <w:pStyle w:val="ListBullet"/>
      </w:pPr>
      <w:r>
        <w:rPr>
          <w:rFonts w:ascii="Calibri" w:hAnsi="Calibri"/>
          <w:b w:val="0"/>
          <w:i w:val="0"/>
          <w:color w:val="1A2238"/>
          <w:sz w:val="21"/>
        </w:rPr>
        <w:t>Acelerar el proceso de participación de la inversión privada e institucionalizar la gestión de la infraestructura.</w:t>
      </w:r>
    </w:p>
    <w:p>
      <w:pPr>
        <w:pStyle w:val="ListBullet"/>
      </w:pPr>
      <w:r>
        <w:rPr>
          <w:rFonts w:ascii="Calibri" w:hAnsi="Calibri"/>
          <w:b w:val="0"/>
          <w:i w:val="0"/>
          <w:color w:val="1A2238"/>
          <w:sz w:val="21"/>
        </w:rPr>
        <w:t>Mejorar el sistema de reclutamiento, selección y capacitación de personal para la gestión de infraestructura.</w:t>
      </w:r>
    </w:p>
    <w:p>
      <w:pPr>
        <w:pStyle w:val="ListBullet"/>
      </w:pPr>
      <w:r>
        <w:rPr>
          <w:rFonts w:ascii="Calibri" w:hAnsi="Calibri"/>
          <w:b w:val="0"/>
          <w:i w:val="0"/>
          <w:color w:val="1A2238"/>
          <w:sz w:val="21"/>
        </w:rPr>
        <w:t>Perfeccionar el marco normativo para facilitar la gestión de la infraestructura.</w:t>
      </w:r>
    </w:p>
    <w:p>
      <w:pPr>
        <w:pStyle w:val="ListBullet"/>
      </w:pPr>
      <w:r>
        <w:rPr>
          <w:rFonts w:ascii="Calibri" w:hAnsi="Calibri"/>
          <w:b w:val="0"/>
          <w:i w:val="0"/>
          <w:color w:val="1A2238"/>
          <w:sz w:val="21"/>
        </w:rPr>
        <w:t>Aprobar la legislación que promueva la creación de centros logísticos.</w:t>
      </w:r>
    </w:p>
    <w:p>
      <w:pPr>
        <w:pStyle w:val="ListBullet"/>
      </w:pPr>
      <w:r>
        <w:rPr>
          <w:rFonts w:ascii="Calibri" w:hAnsi="Calibri"/>
          <w:b w:val="0"/>
          <w:i w:val="0"/>
          <w:color w:val="1A2238"/>
          <w:sz w:val="21"/>
        </w:rPr>
        <w:t>Construir aproximadamente 2,754 km de carreteras por año para alcanzar la densidad vial actual de Chile en los próximos 20 años.</w:t>
      </w:r>
    </w:p>
    <w:p>
      <w:pPr>
        <w:pStyle w:val="ListBullet"/>
      </w:pPr>
      <w:r>
        <w:rPr>
          <w:rFonts w:ascii="Calibri" w:hAnsi="Calibri"/>
          <w:b w:val="0"/>
          <w:i w:val="0"/>
          <w:color w:val="1A2238"/>
          <w:sz w:val="21"/>
        </w:rPr>
        <w:t>Asfaltar alrededor de 2,000 km de carreteras por año (al ritmo reciente) para equiparar la densidad asfaltada de Brasil, Chile y Ecuador.</w:t>
      </w:r>
    </w:p>
    <w:p>
      <w:pPr>
        <w:pStyle w:val="ListBullet"/>
      </w:pPr>
      <w:r>
        <w:rPr>
          <w:rFonts w:ascii="Calibri" w:hAnsi="Calibri"/>
          <w:b w:val="0"/>
          <w:i w:val="0"/>
          <w:color w:val="1A2238"/>
          <w:sz w:val="21"/>
        </w:rPr>
        <w:t>Duplicar la red ferroviaria (de 2,021 km a unos 4,000 km), construyendo del orden de 100 a 200 km de vía férrea por año.</w:t>
      </w:r>
    </w:p>
    <w:p>
      <w:r>
        <w:rPr>
          <w:rFonts w:ascii="Calibri" w:hAnsi="Calibri"/>
          <w:b/>
          <w:i w:val="0"/>
          <w:color w:val="D91023"/>
          <w:sz w:val="26"/>
        </w:rPr>
        <w:t>V · Matriz resumen — indicadores: hoy → meta 2050</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1023"/>
          </w:tcPr>
          <w:p>
            <w:r>
              <w:rPr>
                <w:rFonts w:ascii="Calibri" w:hAnsi="Calibri"/>
                <w:b/>
                <w:i w:val="0"/>
                <w:color w:val="FFFFFF"/>
                <w:sz w:val="17"/>
              </w:rPr>
              <w:t>Indicador</w:t>
            </w:r>
          </w:p>
        </w:tc>
        <w:tc>
          <w:tcPr>
            <w:tcW w:type="dxa" w:w="1656"/>
            <w:shd w:fill="D91023"/>
          </w:tcPr>
          <w:p>
            <w:r>
              <w:rPr>
                <w:rFonts w:ascii="Calibri" w:hAnsi="Calibri"/>
                <w:b/>
                <w:i w:val="0"/>
                <w:color w:val="FFFFFF"/>
                <w:sz w:val="17"/>
              </w:rPr>
              <w:t>Hoy</w:t>
            </w:r>
          </w:p>
        </w:tc>
        <w:tc>
          <w:tcPr>
            <w:tcW w:type="dxa" w:w="1656"/>
            <w:shd w:fill="D91023"/>
          </w:tcPr>
          <w:p>
            <w:r>
              <w:rPr>
                <w:rFonts w:ascii="Calibri" w:hAnsi="Calibri"/>
                <w:b/>
                <w:i w:val="0"/>
                <w:color w:val="FFFFFF"/>
                <w:sz w:val="17"/>
              </w:rPr>
              <w:t>Meta 2050</w:t>
            </w:r>
          </w:p>
        </w:tc>
        <w:tc>
          <w:tcPr>
            <w:tcW w:type="dxa" w:w="1656"/>
            <w:shd w:fill="D91023"/>
          </w:tcPr>
          <w:p>
            <w:r>
              <w:rPr>
                <w:rFonts w:ascii="Calibri" w:hAnsi="Calibri"/>
                <w:b/>
                <w:i w:val="0"/>
                <w:color w:val="FFFFFF"/>
                <w:sz w:val="17"/>
              </w:rPr>
              <w:t>Unidad</w:t>
            </w:r>
          </w:p>
        </w:tc>
        <w:tc>
          <w:tcPr>
            <w:tcW w:type="dxa" w:w="1656"/>
            <w:shd w:fill="D91023"/>
          </w:tcPr>
          <w:p>
            <w:r>
              <w:rPr>
                <w:rFonts w:ascii="Calibri" w:hAnsi="Calibri"/>
                <w:b/>
                <w:i w:val="0"/>
                <w:color w:val="FFFFFF"/>
                <w:sz w:val="17"/>
              </w:rPr>
              <w:t>% avance</w:t>
            </w:r>
          </w:p>
        </w:tc>
        <w:tc>
          <w:tcPr>
            <w:tcW w:type="dxa" w:w="1656"/>
            <w:shd w:fill="D91023"/>
          </w:tcPr>
          <w:p>
            <w:r>
              <w:rPr>
                <w:rFonts w:ascii="Calibri" w:hAnsi="Calibri"/>
                <w:b/>
                <w:i w:val="0"/>
                <w:color w:val="FFFFFF"/>
                <w:sz w:val="17"/>
              </w:rPr>
              <w:t>Fuente</w:t>
            </w:r>
          </w:p>
        </w:tc>
      </w:tr>
      <w:tr>
        <w:tc>
          <w:tcPr>
            <w:tcW w:type="dxa" w:w="1656"/>
          </w:tcPr>
          <w:p>
            <w:r>
              <w:rPr>
                <w:rFonts w:ascii="Calibri" w:hAnsi="Calibri"/>
                <w:b/>
                <w:i w:val="0"/>
                <w:color w:val="1A2238"/>
                <w:sz w:val="16"/>
              </w:rPr>
              <w:t>Brecha total de inversión en infraestructura</w:t>
            </w:r>
          </w:p>
        </w:tc>
        <w:tc>
          <w:tcPr>
            <w:tcW w:type="dxa" w:w="1656"/>
          </w:tcPr>
          <w:p>
            <w:r>
              <w:rPr>
                <w:rFonts w:ascii="Calibri" w:hAnsi="Calibri"/>
                <w:b w:val="0"/>
                <w:i w:val="0"/>
                <w:color w:val="1A2238"/>
                <w:sz w:val="16"/>
              </w:rPr>
              <w:t>37 760</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millones de US$</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IPE, La Brecha de Inversión en Infraestructura en el Perú (2008)</w:t>
            </w:r>
          </w:p>
        </w:tc>
      </w:tr>
      <w:tr>
        <w:tc>
          <w:tcPr>
            <w:tcW w:type="dxa" w:w="1656"/>
          </w:tcPr>
          <w:p>
            <w:r>
              <w:rPr>
                <w:rFonts w:ascii="Calibri" w:hAnsi="Calibri"/>
                <w:b/>
                <w:i w:val="0"/>
                <w:color w:val="1A2238"/>
                <w:sz w:val="16"/>
              </w:rPr>
              <w:t>Red vial total</w:t>
            </w:r>
          </w:p>
        </w:tc>
        <w:tc>
          <w:tcPr>
            <w:tcW w:type="dxa" w:w="1656"/>
          </w:tcPr>
          <w:p>
            <w:r>
              <w:rPr>
                <w:rFonts w:ascii="Calibri" w:hAnsi="Calibri"/>
                <w:b w:val="0"/>
                <w:i w:val="0"/>
                <w:color w:val="1A2238"/>
                <w:sz w:val="16"/>
              </w:rPr>
              <w:t>78 687</w:t>
            </w:r>
          </w:p>
        </w:tc>
        <w:tc>
          <w:tcPr>
            <w:tcW w:type="dxa" w:w="1656"/>
          </w:tcPr>
          <w:p>
            <w:r>
              <w:rPr>
                <w:rFonts w:ascii="Calibri" w:hAnsi="Calibri"/>
                <w:b w:val="0"/>
                <w:i w:val="0"/>
                <w:color w:val="1A2238"/>
                <w:sz w:val="16"/>
              </w:rPr>
              <w:t>160 000</w:t>
            </w:r>
          </w:p>
        </w:tc>
        <w:tc>
          <w:tcPr>
            <w:tcW w:type="dxa" w:w="1656"/>
          </w:tcPr>
          <w:p>
            <w:r>
              <w:rPr>
                <w:rFonts w:ascii="Calibri" w:hAnsi="Calibri"/>
                <w:b w:val="0"/>
                <w:i w:val="0"/>
                <w:color w:val="1A2238"/>
                <w:sz w:val="16"/>
              </w:rPr>
              <w:t>km</w:t>
            </w:r>
          </w:p>
        </w:tc>
        <w:tc>
          <w:tcPr>
            <w:tcW w:type="dxa" w:w="1656"/>
          </w:tcPr>
          <w:p>
            <w:r>
              <w:rPr>
                <w:rFonts w:ascii="Calibri" w:hAnsi="Calibri"/>
                <w:b w:val="0"/>
                <w:i w:val="0"/>
                <w:color w:val="1A2238"/>
                <w:sz w:val="16"/>
              </w:rPr>
              <w:t>49%</w:t>
            </w:r>
          </w:p>
        </w:tc>
        <w:tc>
          <w:tcPr>
            <w:tcW w:type="dxa" w:w="1656"/>
          </w:tcPr>
          <w:p>
            <w:r>
              <w:rPr>
                <w:rFonts w:ascii="Calibri" w:hAnsi="Calibri"/>
                <w:b w:val="0"/>
                <w:i w:val="0"/>
                <w:color w:val="1A2238"/>
                <w:sz w:val="16"/>
              </w:rPr>
              <w:t>Plan Perú 2040 - Objetivos Infraestructura al 2040</w:t>
            </w:r>
          </w:p>
        </w:tc>
      </w:tr>
      <w:tr>
        <w:tc>
          <w:tcPr>
            <w:tcW w:type="dxa" w:w="1656"/>
          </w:tcPr>
          <w:p>
            <w:r>
              <w:rPr>
                <w:rFonts w:ascii="Calibri" w:hAnsi="Calibri"/>
                <w:b/>
                <w:i w:val="0"/>
                <w:color w:val="1A2238"/>
                <w:sz w:val="16"/>
              </w:rPr>
              <w:t>Carreteras asfaltadas</w:t>
            </w:r>
          </w:p>
        </w:tc>
        <w:tc>
          <w:tcPr>
            <w:tcW w:type="dxa" w:w="1656"/>
          </w:tcPr>
          <w:p>
            <w:r>
              <w:rPr>
                <w:rFonts w:ascii="Calibri" w:hAnsi="Calibri"/>
                <w:b w:val="0"/>
                <w:i w:val="0"/>
                <w:color w:val="1A2238"/>
                <w:sz w:val="16"/>
              </w:rPr>
              <w:t>11 016</w:t>
            </w:r>
          </w:p>
        </w:tc>
        <w:tc>
          <w:tcPr>
            <w:tcW w:type="dxa" w:w="1656"/>
          </w:tcPr>
          <w:p>
            <w:r>
              <w:rPr>
                <w:rFonts w:ascii="Calibri" w:hAnsi="Calibri"/>
                <w:b w:val="0"/>
                <w:i w:val="0"/>
                <w:color w:val="1A2238"/>
                <w:sz w:val="16"/>
              </w:rPr>
              <w:t>70 000</w:t>
            </w:r>
          </w:p>
        </w:tc>
        <w:tc>
          <w:tcPr>
            <w:tcW w:type="dxa" w:w="1656"/>
          </w:tcPr>
          <w:p>
            <w:r>
              <w:rPr>
                <w:rFonts w:ascii="Calibri" w:hAnsi="Calibri"/>
                <w:b w:val="0"/>
                <w:i w:val="0"/>
                <w:color w:val="1A2238"/>
                <w:sz w:val="16"/>
              </w:rPr>
              <w:t>km</w:t>
            </w:r>
          </w:p>
        </w:tc>
        <w:tc>
          <w:tcPr>
            <w:tcW w:type="dxa" w:w="1656"/>
          </w:tcPr>
          <w:p>
            <w:r>
              <w:rPr>
                <w:rFonts w:ascii="Calibri" w:hAnsi="Calibri"/>
                <w:b w:val="0"/>
                <w:i w:val="0"/>
                <w:color w:val="1A2238"/>
                <w:sz w:val="16"/>
              </w:rPr>
              <w:t>16%</w:t>
            </w:r>
          </w:p>
        </w:tc>
        <w:tc>
          <w:tcPr>
            <w:tcW w:type="dxa" w:w="1656"/>
          </w:tcPr>
          <w:p>
            <w:r>
              <w:rPr>
                <w:rFonts w:ascii="Calibri" w:hAnsi="Calibri"/>
                <w:b w:val="0"/>
                <w:i w:val="0"/>
                <w:color w:val="1A2238"/>
                <w:sz w:val="16"/>
              </w:rPr>
              <w:t>Plan Perú 2040 - Objetivos Infraestructura al 2040</w:t>
            </w:r>
          </w:p>
        </w:tc>
      </w:tr>
      <w:tr>
        <w:tc>
          <w:tcPr>
            <w:tcW w:type="dxa" w:w="1656"/>
          </w:tcPr>
          <w:p>
            <w:r>
              <w:rPr>
                <w:rFonts w:ascii="Calibri" w:hAnsi="Calibri"/>
                <w:b/>
                <w:i w:val="0"/>
                <w:color w:val="1A2238"/>
                <w:sz w:val="16"/>
              </w:rPr>
              <w:t>Densidad de carreteras asfaltadas</w:t>
            </w:r>
          </w:p>
        </w:tc>
        <w:tc>
          <w:tcPr>
            <w:tcW w:type="dxa" w:w="1656"/>
          </w:tcPr>
          <w:p>
            <w:r>
              <w:rPr>
                <w:rFonts w:ascii="Calibri" w:hAnsi="Calibri"/>
                <w:b w:val="0"/>
                <w:i w:val="0"/>
                <w:color w:val="1A2238"/>
                <w:sz w:val="16"/>
              </w:rPr>
              <w:t>9</w:t>
            </w:r>
          </w:p>
        </w:tc>
        <w:tc>
          <w:tcPr>
            <w:tcW w:type="dxa" w:w="1656"/>
          </w:tcPr>
          <w:p>
            <w:r>
              <w:rPr>
                <w:rFonts w:ascii="Calibri" w:hAnsi="Calibri"/>
                <w:b w:val="0"/>
                <w:i w:val="0"/>
                <w:color w:val="1A2238"/>
                <w:sz w:val="16"/>
              </w:rPr>
              <w:t>54</w:t>
            </w:r>
          </w:p>
        </w:tc>
        <w:tc>
          <w:tcPr>
            <w:tcW w:type="dxa" w:w="1656"/>
          </w:tcPr>
          <w:p>
            <w:r>
              <w:rPr>
                <w:rFonts w:ascii="Calibri" w:hAnsi="Calibri"/>
                <w:b w:val="0"/>
                <w:i w:val="0"/>
                <w:color w:val="1A2238"/>
                <w:sz w:val="16"/>
              </w:rPr>
              <w:t>km asfaltados por mil km2 de territorio</w:t>
            </w:r>
          </w:p>
        </w:tc>
        <w:tc>
          <w:tcPr>
            <w:tcW w:type="dxa" w:w="1656"/>
          </w:tcPr>
          <w:p>
            <w:r>
              <w:rPr>
                <w:rFonts w:ascii="Calibri" w:hAnsi="Calibri"/>
                <w:b w:val="0"/>
                <w:i w:val="0"/>
                <w:color w:val="1A2238"/>
                <w:sz w:val="16"/>
              </w:rPr>
              <w:t>17%</w:t>
            </w:r>
          </w:p>
        </w:tc>
        <w:tc>
          <w:tcPr>
            <w:tcW w:type="dxa" w:w="1656"/>
          </w:tcPr>
          <w:p>
            <w:r>
              <w:rPr>
                <w:rFonts w:ascii="Calibri" w:hAnsi="Calibri"/>
                <w:b w:val="0"/>
                <w:i w:val="0"/>
                <w:color w:val="1A2238"/>
                <w:sz w:val="16"/>
              </w:rPr>
              <w:t>Plan Perú 2040 - Objetivos Infraestructura al 2040</w:t>
            </w:r>
          </w:p>
        </w:tc>
      </w:tr>
      <w:tr>
        <w:tc>
          <w:tcPr>
            <w:tcW w:type="dxa" w:w="1656"/>
          </w:tcPr>
          <w:p>
            <w:r>
              <w:rPr>
                <w:rFonts w:ascii="Calibri" w:hAnsi="Calibri"/>
                <w:b/>
                <w:i w:val="0"/>
                <w:color w:val="1A2238"/>
                <w:sz w:val="16"/>
              </w:rPr>
              <w:t>Red ferroviaria</w:t>
            </w:r>
          </w:p>
        </w:tc>
        <w:tc>
          <w:tcPr>
            <w:tcW w:type="dxa" w:w="1656"/>
          </w:tcPr>
          <w:p>
            <w:r>
              <w:rPr>
                <w:rFonts w:ascii="Calibri" w:hAnsi="Calibri"/>
                <w:b w:val="0"/>
                <w:i w:val="0"/>
                <w:color w:val="1A2238"/>
                <w:sz w:val="16"/>
              </w:rPr>
              <w:t>2 021</w:t>
            </w:r>
          </w:p>
        </w:tc>
        <w:tc>
          <w:tcPr>
            <w:tcW w:type="dxa" w:w="1656"/>
          </w:tcPr>
          <w:p>
            <w:r>
              <w:rPr>
                <w:rFonts w:ascii="Calibri" w:hAnsi="Calibri"/>
                <w:b w:val="0"/>
                <w:i w:val="0"/>
                <w:color w:val="1A2238"/>
                <w:sz w:val="16"/>
              </w:rPr>
              <w:t>8 000</w:t>
            </w:r>
          </w:p>
        </w:tc>
        <w:tc>
          <w:tcPr>
            <w:tcW w:type="dxa" w:w="1656"/>
          </w:tcPr>
          <w:p>
            <w:r>
              <w:rPr>
                <w:rFonts w:ascii="Calibri" w:hAnsi="Calibri"/>
                <w:b w:val="0"/>
                <w:i w:val="0"/>
                <w:color w:val="1A2238"/>
                <w:sz w:val="16"/>
              </w:rPr>
              <w:t>km</w:t>
            </w:r>
          </w:p>
        </w:tc>
        <w:tc>
          <w:tcPr>
            <w:tcW w:type="dxa" w:w="1656"/>
          </w:tcPr>
          <w:p>
            <w:r>
              <w:rPr>
                <w:rFonts w:ascii="Calibri" w:hAnsi="Calibri"/>
                <w:b w:val="0"/>
                <w:i w:val="0"/>
                <w:color w:val="1A2238"/>
                <w:sz w:val="16"/>
              </w:rPr>
              <w:t>25%</w:t>
            </w:r>
          </w:p>
        </w:tc>
        <w:tc>
          <w:tcPr>
            <w:tcW w:type="dxa" w:w="1656"/>
          </w:tcPr>
          <w:p>
            <w:r>
              <w:rPr>
                <w:rFonts w:ascii="Calibri" w:hAnsi="Calibri"/>
                <w:b w:val="0"/>
                <w:i w:val="0"/>
                <w:color w:val="1A2238"/>
                <w:sz w:val="16"/>
              </w:rPr>
              <w:t>Plan Perú 2040 - Objetivos Infraestructura al 2040</w:t>
            </w:r>
          </w:p>
        </w:tc>
      </w:tr>
      <w:tr>
        <w:tc>
          <w:tcPr>
            <w:tcW w:type="dxa" w:w="1656"/>
          </w:tcPr>
          <w:p>
            <w:r>
              <w:rPr>
                <w:rFonts w:ascii="Calibri" w:hAnsi="Calibri"/>
                <w:b/>
                <w:i w:val="0"/>
                <w:color w:val="1A2238"/>
                <w:sz w:val="16"/>
              </w:rPr>
              <w:t>Densidad ferroviaria</w:t>
            </w:r>
          </w:p>
        </w:tc>
        <w:tc>
          <w:tcPr>
            <w:tcW w:type="dxa" w:w="1656"/>
          </w:tcPr>
          <w:p>
            <w:r>
              <w:rPr>
                <w:rFonts w:ascii="Calibri" w:hAnsi="Calibri"/>
                <w:b w:val="0"/>
                <w:i w:val="0"/>
                <w:color w:val="1A2238"/>
                <w:sz w:val="16"/>
              </w:rPr>
              <w:t>1.6</w:t>
            </w:r>
          </w:p>
        </w:tc>
        <w:tc>
          <w:tcPr>
            <w:tcW w:type="dxa" w:w="1656"/>
          </w:tcPr>
          <w:p>
            <w:r>
              <w:rPr>
                <w:rFonts w:ascii="Calibri" w:hAnsi="Calibri"/>
                <w:b w:val="0"/>
                <w:i w:val="0"/>
                <w:color w:val="1A2238"/>
                <w:sz w:val="16"/>
              </w:rPr>
              <w:t>5.9</w:t>
            </w:r>
          </w:p>
        </w:tc>
        <w:tc>
          <w:tcPr>
            <w:tcW w:type="dxa" w:w="1656"/>
          </w:tcPr>
          <w:p>
            <w:r>
              <w:rPr>
                <w:rFonts w:ascii="Calibri" w:hAnsi="Calibri"/>
                <w:b w:val="0"/>
                <w:i w:val="0"/>
                <w:color w:val="1A2238"/>
                <w:sz w:val="16"/>
              </w:rPr>
              <w:t>km de vía férrea por mil km2</w:t>
            </w:r>
          </w:p>
        </w:tc>
        <w:tc>
          <w:tcPr>
            <w:tcW w:type="dxa" w:w="1656"/>
          </w:tcPr>
          <w:p>
            <w:r>
              <w:rPr>
                <w:rFonts w:ascii="Calibri" w:hAnsi="Calibri"/>
                <w:b w:val="0"/>
                <w:i w:val="0"/>
                <w:color w:val="1A2238"/>
                <w:sz w:val="16"/>
              </w:rPr>
              <w:t>27%</w:t>
            </w:r>
          </w:p>
        </w:tc>
        <w:tc>
          <w:tcPr>
            <w:tcW w:type="dxa" w:w="1656"/>
          </w:tcPr>
          <w:p>
            <w:r>
              <w:rPr>
                <w:rFonts w:ascii="Calibri" w:hAnsi="Calibri"/>
                <w:b w:val="0"/>
                <w:i w:val="0"/>
                <w:color w:val="1A2238"/>
                <w:sz w:val="16"/>
              </w:rPr>
              <w:t>Plan Perú 2040 - Objetivos Infraestructura al 2040</w:t>
            </w:r>
          </w:p>
        </w:tc>
      </w:tr>
      <w:tr>
        <w:tc>
          <w:tcPr>
            <w:tcW w:type="dxa" w:w="1656"/>
          </w:tcPr>
          <w:p>
            <w:r>
              <w:rPr>
                <w:rFonts w:ascii="Calibri" w:hAnsi="Calibri"/>
                <w:b/>
                <w:i w:val="0"/>
                <w:color w:val="1A2238"/>
                <w:sz w:val="16"/>
              </w:rPr>
              <w:t>Porcentaje de vías asfaltadas respecto del total de la red vial</w:t>
            </w:r>
          </w:p>
        </w:tc>
        <w:tc>
          <w:tcPr>
            <w:tcW w:type="dxa" w:w="1656"/>
          </w:tcPr>
          <w:p>
            <w:r>
              <w:rPr>
                <w:rFonts w:ascii="Calibri" w:hAnsi="Calibri"/>
                <w:b w:val="0"/>
                <w:i w:val="0"/>
                <w:color w:val="1A2238"/>
                <w:sz w:val="16"/>
              </w:rPr>
              <w:t>14</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CIA, MTC, Ministerio de Transportes de Brasil</w:t>
            </w:r>
          </w:p>
        </w:tc>
      </w:tr>
      <w:tr>
        <w:tc>
          <w:tcPr>
            <w:tcW w:type="dxa" w:w="1656"/>
          </w:tcPr>
          <w:p>
            <w:r>
              <w:rPr>
                <w:rFonts w:ascii="Calibri" w:hAnsi="Calibri"/>
                <w:b/>
                <w:i w:val="0"/>
                <w:color w:val="1A2238"/>
                <w:sz w:val="16"/>
              </w:rPr>
              <w:t>Calidad de infraestructura portuaria</w:t>
            </w:r>
          </w:p>
        </w:tc>
        <w:tc>
          <w:tcPr>
            <w:tcW w:type="dxa" w:w="1656"/>
          </w:tcPr>
          <w:p>
            <w:r>
              <w:rPr>
                <w:rFonts w:ascii="Calibri" w:hAnsi="Calibri"/>
                <w:b w:val="0"/>
                <w:i w:val="0"/>
                <w:color w:val="1A2238"/>
                <w:sz w:val="16"/>
              </w:rPr>
              <w:t>2.3</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puntaje sobre 7 (1=subdesarrollado, 7=eficiente)</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Global Competitiveness Report 2008-2009 (WEF)</w:t>
            </w:r>
          </w:p>
        </w:tc>
      </w:tr>
      <w:tr>
        <w:tc>
          <w:tcPr>
            <w:tcW w:type="dxa" w:w="1656"/>
          </w:tcPr>
          <w:p>
            <w:r>
              <w:rPr>
                <w:rFonts w:ascii="Calibri" w:hAnsi="Calibri"/>
                <w:b/>
                <w:i w:val="0"/>
                <w:color w:val="1A2238"/>
                <w:sz w:val="16"/>
              </w:rPr>
              <w:t>Calidad de infraestructura aeroportuaria</w:t>
            </w:r>
          </w:p>
        </w:tc>
        <w:tc>
          <w:tcPr>
            <w:tcW w:type="dxa" w:w="1656"/>
          </w:tcPr>
          <w:p>
            <w:r>
              <w:rPr>
                <w:rFonts w:ascii="Calibri" w:hAnsi="Calibri"/>
                <w:b w:val="0"/>
                <w:i w:val="0"/>
                <w:color w:val="1A2238"/>
                <w:sz w:val="16"/>
              </w:rPr>
              <w:t>3.9</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puntaje sobre 7</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Global Competitiveness Report 2008-2009 (WEF)</w:t>
            </w:r>
          </w:p>
        </w:tc>
      </w:tr>
      <w:tr>
        <w:tc>
          <w:tcPr>
            <w:tcW w:type="dxa" w:w="1656"/>
          </w:tcPr>
          <w:p>
            <w:r>
              <w:rPr>
                <w:rFonts w:ascii="Calibri" w:hAnsi="Calibri"/>
                <w:b/>
                <w:i w:val="0"/>
                <w:color w:val="1A2238"/>
                <w:sz w:val="16"/>
              </w:rPr>
              <w:t>Calidad de infraestructura ferroviaria</w:t>
            </w:r>
          </w:p>
        </w:tc>
        <w:tc>
          <w:tcPr>
            <w:tcW w:type="dxa" w:w="1656"/>
          </w:tcPr>
          <w:p>
            <w:r>
              <w:rPr>
                <w:rFonts w:ascii="Calibri" w:hAnsi="Calibri"/>
                <w:b w:val="0"/>
                <w:i w:val="0"/>
                <w:color w:val="1A2238"/>
                <w:sz w:val="16"/>
              </w:rPr>
              <w:t>1.72</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puntaje sobre 7</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Global Competitiveness Report 2008-2009 (WEF)</w:t>
            </w:r>
          </w:p>
        </w:tc>
      </w:tr>
      <w:tr>
        <w:tc>
          <w:tcPr>
            <w:tcW w:type="dxa" w:w="1656"/>
          </w:tcPr>
          <w:p>
            <w:r>
              <w:rPr>
                <w:rFonts w:ascii="Calibri" w:hAnsi="Calibri"/>
                <w:b/>
                <w:i w:val="0"/>
                <w:color w:val="1A2238"/>
                <w:sz w:val="16"/>
              </w:rPr>
              <w:t>Cobertura de la red vial con algún tipo de conservación</w:t>
            </w:r>
          </w:p>
        </w:tc>
        <w:tc>
          <w:tcPr>
            <w:tcW w:type="dxa" w:w="1656"/>
          </w:tcPr>
          <w:p>
            <w:r>
              <w:rPr>
                <w:rFonts w:ascii="Calibri" w:hAnsi="Calibri"/>
                <w:b w:val="0"/>
                <w:i w:val="0"/>
                <w:color w:val="1A2238"/>
                <w:sz w:val="16"/>
              </w:rPr>
              <w:t>34</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Plan Perú 2040 (Instituto Cuánto, 2008)</w:t>
            </w:r>
          </w:p>
        </w:tc>
      </w:tr>
      <w:tr>
        <w:tc>
          <w:tcPr>
            <w:tcW w:type="dxa" w:w="1656"/>
          </w:tcPr>
          <w:p>
            <w:r>
              <w:rPr>
                <w:rFonts w:ascii="Calibri" w:hAnsi="Calibri"/>
                <w:b/>
                <w:i w:val="0"/>
                <w:color w:val="1A2238"/>
                <w:sz w:val="16"/>
              </w:rPr>
              <w:t>Cobertura de la red vial con mantenimiento permanente</w:t>
            </w:r>
          </w:p>
        </w:tc>
        <w:tc>
          <w:tcPr>
            <w:tcW w:type="dxa" w:w="1656"/>
          </w:tcPr>
          <w:p>
            <w:r>
              <w:rPr>
                <w:rFonts w:ascii="Calibri" w:hAnsi="Calibri"/>
                <w:b w:val="0"/>
                <w:i w:val="0"/>
                <w:color w:val="1A2238"/>
                <w:sz w:val="16"/>
              </w:rPr>
              <w:t>12.5</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Plan Perú 2040 (Instituto Cuánto, 2008)</w:t>
            </w:r>
          </w:p>
        </w:tc>
      </w:tr>
    </w:tbl>
    <w:p/>
    <w:p>
      <w:r>
        <w:drawing>
          <wp:inline xmlns:a="http://schemas.openxmlformats.org/drawingml/2006/main" xmlns:pic="http://schemas.openxmlformats.org/drawingml/2006/picture">
            <wp:extent cx="5852160" cy="2069667"/>
            <wp:docPr id="1" name="Picture 1"/>
            <wp:cNvGraphicFramePr>
              <a:graphicFrameLocks noChangeAspect="1"/>
            </wp:cNvGraphicFramePr>
            <a:graphic>
              <a:graphicData uri="http://schemas.openxmlformats.org/drawingml/2006/picture">
                <pic:pic>
                  <pic:nvPicPr>
                    <pic:cNvPr id="0" name="avance_infraestructura-y-construccion.png"/>
                    <pic:cNvPicPr/>
                  </pic:nvPicPr>
                  <pic:blipFill>
                    <a:blip r:embed="rId9"/>
                    <a:stretch>
                      <a:fillRect/>
                    </a:stretch>
                  </pic:blipFill>
                  <pic:spPr>
                    <a:xfrm>
                      <a:off x="0" y="0"/>
                      <a:ext cx="5852160" cy="2069667"/>
                    </a:xfrm>
                    <a:prstGeom prst="rect"/>
                  </pic:spPr>
                </pic:pic>
              </a:graphicData>
            </a:graphic>
          </wp:inline>
        </w:drawing>
      </w:r>
    </w:p>
    <w:p>
      <w:pPr>
        <w:jc w:val="center"/>
      </w:pPr>
      <w:r>
        <w:rPr>
          <w:rFonts w:ascii="Calibri" w:hAnsi="Calibri"/>
          <w:b w:val="0"/>
          <w:i/>
          <w:color w:val="5D6B88"/>
          <w:sz w:val="16"/>
        </w:rPr>
        <w:t>Avance estimado de cada indicador hacia su meta 2050.</w:t>
      </w:r>
    </w:p>
    <w:p>
      <w:r>
        <w:rPr>
          <w:rFonts w:ascii="Calibri" w:hAnsi="Calibri"/>
          <w:b/>
          <w:i w:val="0"/>
          <w:color w:val="D91023"/>
          <w:sz w:val="26"/>
        </w:rPr>
        <w:t>VI · Hitos de los primeros 100 días de Gobierno</w:t>
      </w:r>
    </w:p>
    <w:p>
      <w:pPr>
        <w:pStyle w:val="ListBullet"/>
      </w:pPr>
      <w:r>
        <w:rPr>
          <w:rFonts w:ascii="Calibri" w:hAnsi="Calibri"/>
          <w:b w:val="0"/>
          <w:i w:val="0"/>
          <w:color w:val="1A2238"/>
          <w:sz w:val="21"/>
        </w:rPr>
        <w:t>Implementar el Sistema de Planificación de la Infraestructura.</w:t>
      </w:r>
      <w:r>
        <w:rPr>
          <w:rFonts w:ascii="Calibri" w:hAnsi="Calibri"/>
          <w:b w:val="0"/>
          <w:i/>
          <w:color w:val="B8840E"/>
          <w:sz w:val="17"/>
        </w:rPr>
        <w:t xml:space="preserve">  [Gestión / Planificación]</w:t>
      </w:r>
    </w:p>
    <w:p>
      <w:pPr>
        <w:pStyle w:val="ListBullet"/>
      </w:pPr>
      <w:r>
        <w:rPr>
          <w:rFonts w:ascii="Calibri" w:hAnsi="Calibri"/>
          <w:b w:val="0"/>
          <w:i w:val="0"/>
          <w:color w:val="1A2238"/>
          <w:sz w:val="21"/>
        </w:rPr>
        <w:t>Definir la asignación de las competencias sobre la infraestructura entre niveles de gobierno.</w:t>
      </w:r>
      <w:r>
        <w:rPr>
          <w:rFonts w:ascii="Calibri" w:hAnsi="Calibri"/>
          <w:b w:val="0"/>
          <w:i/>
          <w:color w:val="B8840E"/>
          <w:sz w:val="17"/>
        </w:rPr>
        <w:t xml:space="preserve">  [Institucional / Normativo]</w:t>
      </w:r>
    </w:p>
    <w:p>
      <w:pPr>
        <w:pStyle w:val="ListBullet"/>
      </w:pPr>
      <w:r>
        <w:rPr>
          <w:rFonts w:ascii="Calibri" w:hAnsi="Calibri"/>
          <w:b w:val="0"/>
          <w:i w:val="0"/>
          <w:color w:val="1A2238"/>
          <w:sz w:val="21"/>
        </w:rPr>
        <w:t>Incrementar el presupuesto de inversión pública en infraestructura.</w:t>
      </w:r>
      <w:r>
        <w:rPr>
          <w:rFonts w:ascii="Calibri" w:hAnsi="Calibri"/>
          <w:b w:val="0"/>
          <w:i/>
          <w:color w:val="B8840E"/>
          <w:sz w:val="17"/>
        </w:rPr>
        <w:t xml:space="preserve">  [Financiamiento / Presupuesto]</w:t>
      </w:r>
    </w:p>
    <w:p>
      <w:pPr>
        <w:pStyle w:val="ListBullet"/>
      </w:pPr>
      <w:r>
        <w:rPr>
          <w:rFonts w:ascii="Calibri" w:hAnsi="Calibri"/>
          <w:b w:val="0"/>
          <w:i w:val="0"/>
          <w:color w:val="1A2238"/>
          <w:sz w:val="21"/>
        </w:rPr>
        <w:t>Acelerar el proceso de participación de la inversión privada e institucionalizar la gestión de la infraestructura.</w:t>
      </w:r>
      <w:r>
        <w:rPr>
          <w:rFonts w:ascii="Calibri" w:hAnsi="Calibri"/>
          <w:b w:val="0"/>
          <w:i/>
          <w:color w:val="B8840E"/>
          <w:sz w:val="17"/>
        </w:rPr>
        <w:t xml:space="preserve">  [Inversión privada / APP]</w:t>
      </w:r>
    </w:p>
    <w:p>
      <w:r>
        <w:rPr>
          <w:rFonts w:ascii="Calibri" w:hAnsi="Calibri"/>
          <w:b/>
          <w:i w:val="0"/>
          <w:color w:val="D91023"/>
          <w:sz w:val="26"/>
        </w:rPr>
        <w:t>VII · Articulación con el Acuerdo Nacional y el PEDN al 2050</w:t>
      </w:r>
    </w:p>
    <w:p>
      <w:pPr>
        <w:pStyle w:val="ListBullet"/>
      </w:pPr>
      <w:r>
        <w:rPr>
          <w:rFonts w:ascii="Calibri" w:hAnsi="Calibri"/>
          <w:b w:val="0"/>
          <w:i w:val="0"/>
          <w:color w:val="1A2238"/>
          <w:sz w:val="21"/>
        </w:rPr>
        <w:t>Acuerdo Nacional: compromiso de desarrollar infraestructuras y viviendas para eliminar su déficit, hacer al país más competitivo y permitir su desarrollo sostenible.</w:t>
      </w:r>
    </w:p>
    <w:p>
      <w:pPr>
        <w:pStyle w:val="ListBullet"/>
      </w:pPr>
      <w:r>
        <w:rPr>
          <w:rFonts w:ascii="Calibri" w:hAnsi="Calibri"/>
          <w:b w:val="0"/>
          <w:i w:val="0"/>
          <w:color w:val="1A2238"/>
          <w:sz w:val="21"/>
        </w:rPr>
        <w:t>Acuerdo Nacional (a): elaborar un plan nacional de infraestructura identificando ejes nacionales de integración y crecimiento (red energética, vial, portuaria, aeroportuaria y de telecomunicaciones).</w:t>
      </w:r>
    </w:p>
    <w:p>
      <w:pPr>
        <w:pStyle w:val="ListBullet"/>
      </w:pPr>
      <w:r>
        <w:rPr>
          <w:rFonts w:ascii="Calibri" w:hAnsi="Calibri"/>
          <w:b w:val="0"/>
          <w:i w:val="0"/>
          <w:color w:val="1A2238"/>
          <w:sz w:val="21"/>
        </w:rPr>
        <w:t>Acuerdo Nacional (b): otorgar tratamiento especial a las obras de servicio social, con énfasis en infraestructura de salud, educación, saneamiento, riego y drenaje, con participación de la empresa privada.</w:t>
      </w:r>
    </w:p>
    <w:p>
      <w:pPr>
        <w:pStyle w:val="ListBullet"/>
      </w:pPr>
      <w:r>
        <w:rPr>
          <w:rFonts w:ascii="Calibri" w:hAnsi="Calibri"/>
          <w:b w:val="0"/>
          <w:i w:val="0"/>
          <w:color w:val="1A2238"/>
          <w:sz w:val="21"/>
        </w:rPr>
        <w:t>Acuerdo Nacional (c): promover el desarrollo de corredores turísticos y de exportación e integración fronteriza acorde con los planes nacionales.</w:t>
      </w:r>
    </w:p>
    <w:p>
      <w:pPr>
        <w:pStyle w:val="ListBullet"/>
      </w:pPr>
      <w:r>
        <w:rPr>
          <w:rFonts w:ascii="Calibri" w:hAnsi="Calibri"/>
          <w:b w:val="0"/>
          <w:i w:val="0"/>
          <w:color w:val="1A2238"/>
          <w:sz w:val="21"/>
        </w:rPr>
        <w:t>Acuerdo Nacional (d): edificar infraestructura local con participación de la población en su construcción y mantenimiento.</w:t>
      </w:r>
    </w:p>
    <w:p>
      <w:pPr>
        <w:pStyle w:val="ListBullet"/>
      </w:pPr>
      <w:r>
        <w:rPr>
          <w:rFonts w:ascii="Calibri" w:hAnsi="Calibri"/>
          <w:b w:val="0"/>
          <w:i w:val="0"/>
          <w:color w:val="1A2238"/>
          <w:sz w:val="21"/>
        </w:rPr>
        <w:t>Acuerdo Nacional (e-k): elaborar un plan nacional de vivienda y normativa para simplificar construcción y registro, consolidar un sistema habitacional, apoyar el acceso a vivienda digna, fomentar la construcción masiva e industrializada, la capacitación de la mano de obra, el saneamiento físico legal y la titulación de viviendas.</w:t>
      </w:r>
    </w:p>
    <w:p>
      <w:r>
        <w:rPr>
          <w:rFonts w:ascii="Calibri" w:hAnsi="Calibri"/>
          <w:b/>
          <w:i w:val="0"/>
          <w:color w:val="D91023"/>
          <w:sz w:val="26"/>
        </w:rPr>
        <w:t>Pilares de la estrategia</w:t>
      </w:r>
    </w:p>
    <w:p>
      <w:r>
        <w:rPr>
          <w:rFonts w:ascii="Calibri" w:hAnsi="Calibri"/>
          <w:b/>
          <w:i w:val="0"/>
          <w:color w:val="1A2238"/>
          <w:sz w:val="21"/>
        </w:rPr>
        <w:t xml:space="preserve">Planificación y competitividad logística: </w:t>
      </w:r>
      <w:r>
        <w:rPr>
          <w:rFonts w:ascii="Calibri" w:hAnsi="Calibri"/>
          <w:b w:val="0"/>
          <w:i w:val="0"/>
          <w:color w:val="1A2238"/>
          <w:sz w:val="21"/>
        </w:rPr>
        <w:t>Sistema de planificación multimodal de la infraestructura de transporte que optimice los costos logísticos e integre redes viales, ferroviarias, hidrovías, puertos y aeropuertos.</w:t>
      </w:r>
    </w:p>
    <w:p>
      <w:r>
        <w:rPr>
          <w:rFonts w:ascii="Calibri" w:hAnsi="Calibri"/>
          <w:b/>
          <w:i w:val="0"/>
          <w:color w:val="1A2238"/>
          <w:sz w:val="21"/>
        </w:rPr>
        <w:t xml:space="preserve">Institucionalidad y financiamiento: </w:t>
      </w:r>
      <w:r>
        <w:rPr>
          <w:rFonts w:ascii="Calibri" w:hAnsi="Calibri"/>
          <w:b w:val="0"/>
          <w:i w:val="0"/>
          <w:color w:val="1A2238"/>
          <w:sz w:val="21"/>
        </w:rPr>
        <w:t>Reforma normativa, definición de competencias, incremento de la inversión pública y aceleración de la inversión privada (APP) para la gestión y el mantenimiento permanente de la infraestructura.</w:t>
      </w:r>
    </w:p>
    <w:p>
      <w:r>
        <w:rPr>
          <w:rFonts w:ascii="Calibri" w:hAnsi="Calibri"/>
          <w:b/>
          <w:i w:val="0"/>
          <w:color w:val="1A2238"/>
          <w:sz w:val="21"/>
        </w:rPr>
        <w:t xml:space="preserve">Integración territorial y hubs: </w:t>
      </w:r>
      <w:r>
        <w:rPr>
          <w:rFonts w:ascii="Calibri" w:hAnsi="Calibri"/>
          <w:b w:val="0"/>
          <w:i w:val="0"/>
          <w:color w:val="1A2238"/>
          <w:sz w:val="21"/>
        </w:rPr>
        <w:t>Creación de un hub de puertos y aeropuertos del Pacífico Sur, cuatro zonas de actividad logística (Norte, Centro, Sur y Oriente) y condiciones para el ordenamiento territorial.</w:t>
      </w:r>
    </w:p>
    <w:p>
      <w:r>
        <w:rPr>
          <w:rFonts w:ascii="Calibri" w:hAnsi="Calibri"/>
          <w:b/>
          <w:i w:val="0"/>
          <w:color w:val="D91023"/>
          <w:sz w:val="26"/>
        </w:rPr>
        <w:t>Recomendación de política</w:t>
      </w:r>
    </w:p>
    <w:p>
      <w:r>
        <w:rPr>
          <w:rFonts w:ascii="Calibri" w:hAnsi="Calibri"/>
          <w:b w:val="0"/>
          <w:i w:val="0"/>
          <w:color w:val="1A2238"/>
          <w:sz w:val="21"/>
        </w:rPr>
        <w:t>Adoptar un sistema de planificación multimodal de largo plazo de la infraestructura, reformar el marco normativo e institucional y acelerar la participación de la inversión privada mediante asociaciones público-privadas (siguiendo la experiencia exitosa de Chile, Irlanda, Australia, Reino Unido y China), elevando sostenidamente la inversión pública para cerrar la brecha estimada por el IPE (US$ 37,760 millones, ~30% del PBI) y alcanzar al 2040 una red vial de 160,000 km, 70,000 km asfaltados y 8,000 km de ferrocarriles.</w:t>
      </w:r>
    </w:p>
    <w:p/>
    <w:p>
      <w:r>
        <w:rPr>
          <w:rFonts w:ascii="Calibri" w:hAnsi="Calibri"/>
          <w:b w:val="0"/>
          <w:i/>
          <w:color w:val="5D6B88"/>
          <w:sz w:val="15"/>
        </w:rPr>
        <w:t>Documento potenciado a partir de la redacción de la comisión. Las cifras provienen del documento fuente y están sujetas a validación oficial. La silueta territorial es referencial.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