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B8840E"/>
          <w:sz w:val="22"/>
        </w:rPr>
        <w:t>PLAN PERÚ 2050</w:t>
      </w:r>
      <w:r>
        <w:br/>
      </w:r>
      <w:r>
        <w:rPr>
          <w:rFonts w:ascii="Calibri" w:hAnsi="Calibri"/>
          <w:b w:val="0"/>
          <w:i w:val="0"/>
          <w:color w:val="5D6B88"/>
          <w:sz w:val="18"/>
        </w:rPr>
        <w:t>Comisión Temática Nacional · CNPP — Colegio de Ingenieros del Perú</w:t>
      </w:r>
    </w:p>
    <w:p>
      <w:r>
        <w:rPr>
          <w:rFonts w:ascii="Calibri" w:hAnsi="Calibri"/>
          <w:b/>
          <w:i w:val="0"/>
          <w:color w:val="D91023"/>
          <w:sz w:val="48"/>
        </w:rPr>
        <w:t>Minería</w:t>
      </w:r>
    </w:p>
    <w:p>
      <w:r>
        <w:rPr>
          <w:rFonts w:ascii="Calibri" w:hAnsi="Calibri"/>
          <w:b w:val="0"/>
          <w:i/>
          <w:color w:val="5D6B88"/>
          <w:sz w:val="21"/>
        </w:rPr>
        <w:t>Eje estratégico: Competitividad</w:t>
      </w:r>
    </w:p>
    <w:p>
      <w:r>
        <w:rPr>
          <w:rFonts w:ascii="Calibri" w:hAnsi="Calibri"/>
          <w:b w:val="0"/>
          <w:i w:val="0"/>
          <w:color w:val="1A2238"/>
          <w:sz w:val="23"/>
        </w:rPr>
        <w:t>Informe ejecutivo de la Comisión Minería del Plan Perú 2040 (CNPP/Colegio de Ingenieros del Perú). Propone una minería con responsabilidad social, en armonía con el ambiente y la comunidad, basada en innovación, valor agregado y una alianza Estado-Empresa-Comunidad que revierta la atmósfera antiminera y reduzca los conflictos sociales.</w:t>
      </w:r>
    </w:p>
    <w:p>
      <w:r>
        <w:rPr>
          <w:rFonts w:ascii="Calibri" w:hAnsi="Calibri"/>
          <w:b/>
          <w:i w:val="0"/>
          <w:color w:val="D91023"/>
          <w:sz w:val="26"/>
        </w:rPr>
        <w:t>Síntesis cuantitativa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9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Indicadores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4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Pilares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8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Objetivos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—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Avance estimado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Contenido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futura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actual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III.  </w:t>
      </w:r>
      <w:r>
        <w:rPr>
          <w:rFonts w:ascii="Calibri" w:hAnsi="Calibri"/>
          <w:b w:val="0"/>
          <w:i w:val="0"/>
          <w:color w:val="1A2238"/>
          <w:sz w:val="20"/>
        </w:rPr>
        <w:t>Objetivos estratégicos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IV.  </w:t>
      </w:r>
      <w:r>
        <w:rPr>
          <w:rFonts w:ascii="Calibri" w:hAnsi="Calibri"/>
          <w:b w:val="0"/>
          <w:i w:val="0"/>
          <w:color w:val="1A2238"/>
          <w:sz w:val="20"/>
        </w:rPr>
        <w:t>Acciones estratégicas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V.  </w:t>
      </w:r>
      <w:r>
        <w:rPr>
          <w:rFonts w:ascii="Calibri" w:hAnsi="Calibri"/>
          <w:b w:val="0"/>
          <w:i w:val="0"/>
          <w:color w:val="1A2238"/>
          <w:sz w:val="20"/>
        </w:rPr>
        <w:t>Matriz resumen (indicadores)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VI.  </w:t>
      </w:r>
      <w:r>
        <w:rPr>
          <w:rFonts w:ascii="Calibri" w:hAnsi="Calibri"/>
          <w:b w:val="0"/>
          <w:i w:val="0"/>
          <w:color w:val="1A2238"/>
          <w:sz w:val="20"/>
        </w:rPr>
        <w:t>Hitos de los primeros 100 días de Gobierno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VII.  </w:t>
      </w:r>
      <w:r>
        <w:rPr>
          <w:rFonts w:ascii="Calibri" w:hAnsi="Calibri"/>
          <w:b w:val="0"/>
          <w:i w:val="0"/>
          <w:color w:val="1A2238"/>
          <w:sz w:val="20"/>
        </w:rPr>
        <w:t>Articulación con el Acuerdo Nacional y el PEDN al 2050</w:t>
      </w:r>
    </w:p>
    <w:p>
      <w:r>
        <w:rPr>
          <w:rFonts w:ascii="Calibri" w:hAnsi="Calibri"/>
          <w:b/>
          <w:i w:val="0"/>
          <w:color w:val="D91023"/>
          <w:sz w:val="26"/>
        </w:rPr>
        <w:t>I · Síntesis de la situación futura</w:t>
      </w:r>
    </w:p>
    <w:p>
      <w:r>
        <w:rPr>
          <w:rFonts w:ascii="Calibri" w:hAnsi="Calibri"/>
          <w:b w:val="0"/>
          <w:i w:val="0"/>
          <w:color w:val="1A2238"/>
          <w:sz w:val="21"/>
        </w:rPr>
        <w:t>En el año 2040 el Perú será una sociedad con responsabilidad social, educada en la economía de la creatividad, que aprovecha su biodiversidad como eje económico e innova a través de la ciencia y la tecnología con productos y servicios de alta calidad; será líder en la oferta exportable de productos con valor agregado, con una población de alta calidad de vida y oportunidades de desarrollo en un ambiente sostenible, teniendo a su biodiversidad como marca Perú en el mundo. La minería en 2040 logrará un gran posicionamiento mundial, en armonía con la sociedad, usando procesos orientados a la conservación y recuperación del medio ambiente, con productos resultantes de la aplicación de nuevos conocimientos, preparándose a las nuevas exigencias de la humanidad para convertir al Perú en un país creativo e innovador.</w:t>
      </w:r>
    </w:p>
    <w:p>
      <w:r>
        <w:rPr>
          <w:rFonts w:ascii="Calibri" w:hAnsi="Calibri"/>
          <w:b/>
          <w:i w:val="0"/>
          <w:color w:val="D91023"/>
          <w:sz w:val="26"/>
        </w:rPr>
        <w:t>II · Síntesis de la situación actual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 nivel internacional el Perú ocupa lugares privilegiados en Latinoamérica y el mundo por su alta producción y potencial minero.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En Latinoamérica ocupa el primer lugar en producción de zinc, plomo, estaño, plata y oro, y el segundo lugar en cobre.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 nivel mundial ocupa el primer lugar en plata (16.48%), tercer lugar en zinc (12.15%), cobre (6.86%) y estaño; cuarto lugar en plomo (9.52%) y quinto lugar en oro (8.01%).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Es el segundo mayor productor de plata del mundo (aportó 116 Moz) y segundo mayor productor de cobre, con 8% de participación mundial (2010); principal productor de oro en Latinoamérica y sexto a nivel mundial.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La minería es el sector que más ha aportado, mediante impuestos, al crecimiento económico del Perú en los últimos diez años, debido a los altos precios internacionales.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Se ha incubado en el país una atmósfera anti-minera, considerada absurda y negativa, pese a que la actividad formal está normada por estrictos estándares internacionales que salvaguardan vida, salud y ambiente.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Aspectos que interrumpen su funcionamiento: mala distribución de la riqueza; poca o inexistente consulta popular en nuevos proyectos; ausencia de convenios de proyectos a largo plazo; falta de leyes que regulen eficientemente el cuidado del medio ambiente; conflictos sociales ante nuevos proyectos; demostrada falta de capacidad negociadora del Estado.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Los sitiales de privilegio estarían en proceso de caída si los conflictos sociales siguen incrementándose en el país.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Existen problemas de deterioro ambiental vinculados al círculo vicioso de la pobreza y al crecimiento urbano desorganizado, donde vive cerca del 70% de la población peruana (visión compartida CEPLAN).</w:t>
      </w:r>
    </w:p>
    <w:p>
      <w:r>
        <w:rPr>
          <w:rFonts w:ascii="Calibri" w:hAnsi="Calibri"/>
          <w:b/>
          <w:i w:val="0"/>
          <w:color w:val="D91023"/>
          <w:sz w:val="26"/>
        </w:rPr>
        <w:t>III · Objetivos estratégicos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Implementar el cambio de imagen del Perú como país eco-biodiverso.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Desarrollar políticas para el mantenimiento y exploración de mercados.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Asegurar las condiciones logísticas de las compañías mineras.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Desarrollo sostenible de las áreas de influencia de las compañías mineras.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Nuevas políticas del Estado y de las empresas mineras.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Desarrollo de mano de obra técnica especializada para el sector minero.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Desarrollar iniciativas de emprendimiento e innovación en sectores que apoyen al sostenimiento minero.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Desarrollar políticas de manejo ambiental y social que permitan la armonía con el ecosistema.</w:t>
      </w:r>
    </w:p>
    <w:p>
      <w:r>
        <w:rPr>
          <w:rFonts w:ascii="Calibri" w:hAnsi="Calibri"/>
          <w:b/>
          <w:i w:val="0"/>
          <w:color w:val="D91023"/>
          <w:sz w:val="26"/>
        </w:rPr>
        <w:t>IV · Acciones estratégicas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1: Cambio de currícula educativa, para dar a conocer desde la infancia la importancia de los recursos y la biodiversidad del Perú.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2: Creación de normativas eficientes sobre beneficios y sanciones por cuidado del medio ambiente.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3: Desarrollo de oficinas de mercadeo en cada consulado y embajada para mayor demanda de commodities y productos de valor agregado.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4: Desarrollo de oficinas del Estado para el apoyo de ventas a la mediana y pequeña empresa minera.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5: Desarrollo de infraestructura vial para el transporte logístico de los minerales hasta sus puntos de comercialización.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6: Desarrollo de infraestructura pluvial (puertos y embarcaciones) para el transporte de minerales a través de los ríos.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7: Desarrollo de infraestructura ferroviaria para el transporte logístico de minerales.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8: Convenio con comunidades de influencia para la educación privilegiada de hijos con trabajo en la empresa.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9: Desarrollo de políticas orientadas a la generación de clústeres mineros (coordinación comunidad-empresa-institutos/universidades para tecnologías ad-hoc).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10: Desarrollar proyectos orientados a capacitar y explotar recursos agrícolas, hídricos, ganaderos, etc., para mayor aprovechamiento de los recursos naturales.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11: Desarrollar y apoyar empresas con innovación en los procesos de extracción y procesamiento de minerales, formando unidades de I+D internas para liderazgo de costos.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12: Desarrollar nuevas empresas que elaboren prendas textiles con utilización de minerales (ejemplo: cobre) para mayor valor agregado.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13: Desarrollar comunidades de trabajadores con facilidades de vivienda, salud y educación como centro inicial de mano de obra (polos de desarrollo con estabilidad social).</w:t>
      </w:r>
    </w:p>
    <w:p>
      <w:r>
        <w:rPr>
          <w:rFonts w:ascii="Calibri" w:hAnsi="Calibri"/>
          <w:b/>
          <w:i w:val="0"/>
          <w:color w:val="D91023"/>
          <w:sz w:val="26"/>
        </w:rPr>
        <w:t>V · Matriz resumen — indicadores: hoy → meta 2050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Hoy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Meta 2050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Unidad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avance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Cartera de proyectos mineros a ejecutarse en los próximos 10 años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41 500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millones de US$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Ministerio de Energía y Minas (MEM)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Participación del Perú en producción mundial de plata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16.48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(primer lugar mundial)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Plan Perú 2040 - Comisión Minería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Participación del Perú en producción mundial de zinc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12.15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(tercer lugar mundial)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Plan Perú 2040 - Comisión Minería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Participación del Perú en producción mundial de cobre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6.86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(tercer lugar mundial)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Plan Perú 2040 - Comisión Minería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Participación del Perú en producción mundial de plomo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9.52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(cuarto lugar mundial)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Plan Perú 2040 - Comisión Minería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Participación del Perú en producción mundial de oro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8.01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(quinto lugar mundial)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Plan Perú 2040 - Comisión Minería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Participación del Perú en el mercado mundial de cobre (2010)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8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Plan Perú 2040 - Comisión Minería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Producción de plata del Perú (segundo productor mundial)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116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millones de onzas (Moz)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Silver Institute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Recaudación tributaria como porcentaje del PBI (meta de ampliación de base tributaria, Acuerdo Nacional - Tercer Objetivo)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18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del PBI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Acuerdo Nacional - Tercer Objetivo: Competitividad del País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VI · Hitos de los primeros 100 días de Gobierno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Generar una nueva política que permita concertar de manera racional, informada y democrática al Estado con las poblaciones (comunidades, cooperativas) y quienes llevan a cabo actividades mineras, para evitar cualquier tipo de conflicto.</w:t>
      </w:r>
      <w:r>
        <w:rPr>
          <w:rFonts w:ascii="Calibri" w:hAnsi="Calibri"/>
          <w:b w:val="0"/>
          <w:i/>
          <w:color w:val="B8840E"/>
          <w:sz w:val="17"/>
        </w:rPr>
        <w:t xml:space="preserve">  [Normativo / Diálogo]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Impulsar la inversión en investigación e innovación de los procesos tecnológicos mineros, con presencia del entorno empresarial.</w:t>
      </w:r>
      <w:r>
        <w:rPr>
          <w:rFonts w:ascii="Calibri" w:hAnsi="Calibri"/>
          <w:b w:val="0"/>
          <w:i/>
          <w:color w:val="B8840E"/>
          <w:sz w:val="17"/>
        </w:rPr>
        <w:t xml:space="preserve">  [Inversión / I+D]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Promover la generación de clústeres en los que convivan extracción, investigación y comunidad para generar mano de obra de mayor calidad y compenetrada con su entorno.</w:t>
      </w:r>
      <w:r>
        <w:rPr>
          <w:rFonts w:ascii="Calibri" w:hAnsi="Calibri"/>
          <w:b w:val="0"/>
          <w:i/>
          <w:color w:val="B8840E"/>
          <w:sz w:val="17"/>
        </w:rPr>
        <w:t xml:space="preserve">  [Articulación / Productivo]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Investigar productos con mayor valor agregado que permitan abrir nuevos mercados y generar mayor oferta exportable.</w:t>
      </w:r>
      <w:r>
        <w:rPr>
          <w:rFonts w:ascii="Calibri" w:hAnsi="Calibri"/>
          <w:b w:val="0"/>
          <w:i/>
          <w:color w:val="B8840E"/>
          <w:sz w:val="17"/>
        </w:rPr>
        <w:t xml:space="preserve">  [I+D / Comercio exterior]</w:t>
      </w:r>
    </w:p>
    <w:p>
      <w:r>
        <w:rPr>
          <w:rFonts w:ascii="Calibri" w:hAnsi="Calibri"/>
          <w:b/>
          <w:i w:val="0"/>
          <w:color w:val="D91023"/>
          <w:sz w:val="26"/>
        </w:rPr>
        <w:t>VII · Articulación con el Acuerdo Nacional y el PEDN al 2050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Acuerdo Nacional - Tercer Objetivo: Competitividad del País (política económica de economía social de mercado; ampliar la base tributaria hasta una recaudación no menor al 18% del PBI; promover inversión privada, infraestructura, innovación y comercio exterior).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Acuerdo Nacional - Décimo Octava Política de Estado: Búsqueda de la Competitividad, Productividad y Formalización de la Actividad Económica.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Acuerdo Nacional - Décimo Novena Política de Estado: Desarrollo Sostenible y Gestión Ambiental (estímulo a la inversión ambiental y transferencia de tecnología para una minería más limpia y competitiva).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Acuerdo Nacional - Vigésima Política de Estado: Desarrollo de la Ciencia y la Tecnología.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CEPLAN - Plan Perú 2021, Eje Estratégico 6: Conservación y aprovechamiento sostenible de los recursos naturales y la biodiversidad, con un ambiente que permita una buena calidad de vida y ecosistemas saludables, viables y funcionales en el largo plazo (Objetivo Nacional y Lineamientos de Política, CEPLAN 2021 p.190-191).</w:t>
      </w:r>
    </w:p>
    <w:p>
      <w:r>
        <w:rPr>
          <w:rFonts w:ascii="Calibri" w:hAnsi="Calibri"/>
          <w:b/>
          <w:i w:val="0"/>
          <w:color w:val="D91023"/>
          <w:sz w:val="26"/>
        </w:rPr>
        <w:t>Pilares de la estrategia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Imagen país eco-biodiverso e innovación: </w:t>
      </w:r>
      <w:r>
        <w:rPr>
          <w:rFonts w:ascii="Calibri" w:hAnsi="Calibri"/>
          <w:b w:val="0"/>
          <w:i w:val="0"/>
          <w:color w:val="1A2238"/>
          <w:sz w:val="21"/>
        </w:rPr>
        <w:t>Reposicionar al Perú como país biodiverso e innovador, no solo minero, agregando valor a los minerales mediante ciencia, tecnología y nuevos productos exportables.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Alianza Estado-Empresa-Comunidad: </w:t>
      </w:r>
      <w:r>
        <w:rPr>
          <w:rFonts w:ascii="Calibri" w:hAnsi="Calibri"/>
          <w:b w:val="0"/>
          <w:i w:val="0"/>
          <w:color w:val="1A2238"/>
          <w:sz w:val="21"/>
        </w:rPr>
        <w:t>Concertación racional, informada y democrática para reducir conflictos sociales, con consulta popular, redistribución de la riqueza y desarrollo sostenible de las áreas de influencia.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Infraestructura y logística: </w:t>
      </w:r>
      <w:r>
        <w:rPr>
          <w:rFonts w:ascii="Calibri" w:hAnsi="Calibri"/>
          <w:b w:val="0"/>
          <w:i w:val="0"/>
          <w:color w:val="1A2238"/>
          <w:sz w:val="21"/>
        </w:rPr>
        <w:t>Desarrollo de infraestructura vial, pluvial, portuaria y ferroviaria, y oficinas de mercadeo en embajadas/consulados para el transporte y comercialización de minerales y productos de valor agregado.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Manejo ambiental y social: </w:t>
      </w:r>
      <w:r>
        <w:rPr>
          <w:rFonts w:ascii="Calibri" w:hAnsi="Calibri"/>
          <w:b w:val="0"/>
          <w:i w:val="0"/>
          <w:color w:val="1A2238"/>
          <w:sz w:val="21"/>
        </w:rPr>
        <w:t>Normativa eficiente de beneficios y sanciones por cuidado del ambiente y procesos orientados a la conservación y recuperación del medio ambiente en armonía con el ecosistema.</w:t>
      </w:r>
    </w:p>
    <w:p>
      <w:r>
        <w:rPr>
          <w:rFonts w:ascii="Calibri" w:hAnsi="Calibri"/>
          <w:b/>
          <w:i w:val="0"/>
          <w:color w:val="D91023"/>
          <w:sz w:val="26"/>
        </w:rPr>
        <w:t>Recomendación de política</w:t>
      </w:r>
    </w:p>
    <w:p>
      <w:r>
        <w:rPr>
          <w:rFonts w:ascii="Calibri" w:hAnsi="Calibri"/>
          <w:b w:val="0"/>
          <w:i w:val="0"/>
          <w:color w:val="1A2238"/>
          <w:sz w:val="21"/>
        </w:rPr>
        <w:t>Es urgente generar una nueva política que concerte de manera racional, informada y democrática al Estado con las comunidades y quienes realizan actividades mineras, para evitar conflictos; invertir en investigación e innovación de los procesos tecnológicos mineros con presencia del entorno empresarial; impulsar clústeres que articulen extracción, investigación y comunidad; e investigar productos con mayor valor agregado que abran nuevos mercados y amplíen la oferta exportable.</w:t>
      </w:r>
    </w:p>
    <w:p/>
    <w:p>
      <w:r>
        <w:rPr>
          <w:rFonts w:ascii="Calibri" w:hAnsi="Calibri"/>
          <w:b w:val="0"/>
          <w:i/>
          <w:color w:val="5D6B88"/>
          <w:sz w:val="15"/>
        </w:rPr>
        <w:t>Documento potenciado a partir de la redacción de la comisión. Las cifras provienen del documento fuente y están sujetas a validación oficial. La silueta territorial es referencial.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