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B8840E"/>
          <w:sz w:val="22"/>
        </w:rPr>
        <w:t>PLAN PERÚ 2050</w:t>
      </w:r>
      <w:r>
        <w:br/>
      </w:r>
      <w:r>
        <w:rPr>
          <w:rFonts w:ascii="Calibri" w:hAnsi="Calibri"/>
          <w:b w:val="0"/>
          <w:i w:val="0"/>
          <w:color w:val="5D6B88"/>
          <w:sz w:val="18"/>
        </w:rPr>
        <w:t>Comisiones Temáticas Nacionales · CNPP — Colegio de Ingenieros del Perú</w:t>
      </w:r>
    </w:p>
    <w:p>
      <w:r>
        <w:rPr>
          <w:rFonts w:ascii="Calibri" w:hAnsi="Calibri"/>
          <w:b/>
          <w:i w:val="0"/>
          <w:color w:val="D91023"/>
          <w:sz w:val="48"/>
        </w:rPr>
        <w:t>Plan de los 100 Primeros Días</w:t>
      </w:r>
    </w:p>
    <w:p>
      <w:r>
        <w:rPr>
          <w:rFonts w:ascii="Calibri" w:hAnsi="Calibri"/>
          <w:b w:val="0"/>
          <w:i/>
          <w:color w:val="1A2238"/>
          <w:sz w:val="21"/>
        </w:rPr>
        <w:t>Consolidado de medidas inmediatas propuestas por las comisiones temáticas para los primeros 100 días del próximo gobierno. Extraídas de las redacciones de cada comisión; sujetas a validación oficial.</w:t>
      </w:r>
    </w:p>
    <w:p>
      <w:r>
        <w:rPr>
          <w:rFonts w:ascii="Calibri" w:hAnsi="Calibri"/>
          <w:b/>
          <w:i w:val="0"/>
          <w:color w:val="B8840E"/>
          <w:sz w:val="22"/>
        </w:rPr>
        <w:t>49 medidas · 12 comisiones</w:t>
      </w:r>
    </w:p>
    <w:p/>
    <w:p>
      <w:r>
        <w:rPr>
          <w:rFonts w:ascii="Calibri" w:hAnsi="Calibri"/>
          <w:b/>
          <w:i w:val="0"/>
          <w:color w:val="D91023"/>
          <w:sz w:val="30"/>
        </w:rPr>
        <w:t>Aeroespacial (Aeronáutica y Espacio)</w:t>
      </w:r>
    </w:p>
    <w:p>
      <w:r>
        <w:rPr>
          <w:rFonts w:ascii="Calibri" w:hAnsi="Calibri"/>
          <w:b w:val="0"/>
          <w:i/>
          <w:color w:val="5D6B88"/>
          <w:sz w:val="19"/>
        </w:rPr>
        <w:t>Eje: Soberanía y Defensa</w:t>
      </w:r>
    </w:p>
    <w:p>
      <w:pPr>
        <w:pStyle w:val="ListBullet"/>
      </w:pPr>
      <w:r>
        <w:rPr>
          <w:rFonts w:ascii="Calibri" w:hAnsi="Calibri"/>
          <w:b w:val="0"/>
          <w:i w:val="0"/>
          <w:color w:val="1A2238"/>
          <w:sz w:val="21"/>
        </w:rPr>
        <w:t>Diseñar, redactar y promulgar la Ley de la Agencia Aeroespacial Nacional, solicitando facultades legislativas al Ejecutivo para acelerar su implementación</w:t>
      </w:r>
      <w:r>
        <w:rPr>
          <w:rFonts w:ascii="Calibri" w:hAnsi="Calibri"/>
          <w:b w:val="0"/>
          <w:i/>
          <w:color w:val="B8840E"/>
          <w:sz w:val="17"/>
        </w:rPr>
        <w:t xml:space="preserve">  [ley/decreto]</w:t>
      </w:r>
    </w:p>
    <w:p>
      <w:pPr>
        <w:pStyle w:val="ListBullet"/>
      </w:pPr>
      <w:r>
        <w:rPr>
          <w:rFonts w:ascii="Calibri" w:hAnsi="Calibri"/>
          <w:b w:val="0"/>
          <w:i w:val="0"/>
          <w:color w:val="1A2238"/>
          <w:sz w:val="21"/>
        </w:rPr>
        <w:t>Formular los perfiles de inversión pública para los aeropuertos secundarios (estudios técnicos y de impacto ambiental, liberación de terrenos y estructuración financiera)</w:t>
      </w:r>
      <w:r>
        <w:rPr>
          <w:rFonts w:ascii="Calibri" w:hAnsi="Calibri"/>
          <w:b w:val="0"/>
          <w:i/>
          <w:color w:val="B8840E"/>
          <w:sz w:val="17"/>
        </w:rPr>
        <w:t xml:space="preserve">  [inversión]</w:t>
      </w:r>
    </w:p>
    <w:p/>
    <w:p>
      <w:r>
        <w:rPr>
          <w:rFonts w:ascii="Calibri" w:hAnsi="Calibri"/>
          <w:b/>
          <w:i w:val="0"/>
          <w:color w:val="D91023"/>
          <w:sz w:val="30"/>
        </w:rPr>
        <w:t>Marítimo, Fluvial y Lacustre</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Instalar la Comisión Nacional de Economía Azul mediante Decreto Supremo que la formaliza como equipo de transición, y publicar la Línea Base del Perú frente a indicadores internacionales (Ocean Health Index)</w:t>
      </w:r>
      <w:r>
        <w:rPr>
          <w:rFonts w:ascii="Calibri" w:hAnsi="Calibri"/>
          <w:b w:val="0"/>
          <w:i/>
          <w:color w:val="B8840E"/>
          <w:sz w:val="17"/>
        </w:rPr>
        <w:t xml:space="preserve">  [ley/decreto (Decreto Supremo) e institucional]</w:t>
      </w:r>
    </w:p>
    <w:p>
      <w:pPr>
        <w:pStyle w:val="ListBullet"/>
      </w:pPr>
      <w:r>
        <w:rPr>
          <w:rFonts w:ascii="Calibri" w:hAnsi="Calibri"/>
          <w:b w:val="0"/>
          <w:i w:val="0"/>
          <w:color w:val="1A2238"/>
          <w:sz w:val="21"/>
        </w:rPr>
        <w:t>Iniciar la licitación y formulación de los expedientes técnicos para la modernización portuaria fluvial de los terminales de Iquitos y Pucallpa, con infraestructura resiliente</w:t>
      </w:r>
      <w:r>
        <w:rPr>
          <w:rFonts w:ascii="Calibri" w:hAnsi="Calibri"/>
          <w:b w:val="0"/>
          <w:i/>
          <w:color w:val="B8840E"/>
          <w:sz w:val="17"/>
        </w:rPr>
        <w:t xml:space="preserve">  [inversión]</w:t>
      </w:r>
    </w:p>
    <w:p>
      <w:pPr>
        <w:pStyle w:val="ListBullet"/>
      </w:pPr>
      <w:r>
        <w:rPr>
          <w:rFonts w:ascii="Calibri" w:hAnsi="Calibri"/>
          <w:b w:val="0"/>
          <w:i w:val="0"/>
          <w:color w:val="1A2238"/>
          <w:sz w:val="21"/>
        </w:rPr>
        <w:t>Presentar y remitir al Congreso de la República el Proyecto de Ley de Creación de la Autoridad del Mar como ente civil técnico y autónomo</w:t>
      </w:r>
      <w:r>
        <w:rPr>
          <w:rFonts w:ascii="Calibri" w:hAnsi="Calibri"/>
          <w:b w:val="0"/>
          <w:i/>
          <w:color w:val="B8840E"/>
          <w:sz w:val="17"/>
        </w:rPr>
        <w:t xml:space="preserve">  [ley/decreto (proyecto de ley)]</w:t>
      </w:r>
    </w:p>
    <w:p/>
    <w:p>
      <w:r>
        <w:rPr>
          <w:rFonts w:ascii="Calibri" w:hAnsi="Calibri"/>
          <w:b/>
          <w:i w:val="0"/>
          <w:color w:val="D91023"/>
          <w:sz w:val="30"/>
        </w:rPr>
        <w:t>Perú en la Era Digital</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Crear e instalar la Comisión Multisectorial "Perú en la Era Digital al 2050", espacio de gobernanza de alto nivel con PCM, CEPLAN, MTC, MINEDU, MINSA, PRODUCE, MEF, RENIEC, academia, sector privado y sociedad civil</w:t>
      </w:r>
      <w:r>
        <w:rPr>
          <w:rFonts w:ascii="Calibri" w:hAnsi="Calibri"/>
          <w:b w:val="0"/>
          <w:i/>
          <w:color w:val="B8840E"/>
          <w:sz w:val="17"/>
        </w:rPr>
        <w:t xml:space="preserve">  [institucional]</w:t>
      </w:r>
    </w:p>
    <w:p>
      <w:pPr>
        <w:pStyle w:val="ListBullet"/>
      </w:pPr>
      <w:r>
        <w:rPr>
          <w:rFonts w:ascii="Calibri" w:hAnsi="Calibri"/>
          <w:b w:val="0"/>
          <w:i w:val="0"/>
          <w:color w:val="1A2238"/>
          <w:sz w:val="21"/>
        </w:rPr>
        <w:t>Aprobar una hoja de ruta preliminar de Era Digital 2050 que defina visión, ejes, indicadores, responsabilidades, metas 2030-2040-2050 y cartera de iniciativas estratégicas</w:t>
      </w:r>
      <w:r>
        <w:rPr>
          <w:rFonts w:ascii="Calibri" w:hAnsi="Calibri"/>
          <w:b w:val="0"/>
          <w:i/>
          <w:color w:val="B8840E"/>
          <w:sz w:val="17"/>
        </w:rPr>
        <w:t xml:space="preserve">  [programa]</w:t>
      </w:r>
    </w:p>
    <w:p>
      <w:pPr>
        <w:pStyle w:val="ListBullet"/>
      </w:pPr>
      <w:r>
        <w:rPr>
          <w:rFonts w:ascii="Calibri" w:hAnsi="Calibri"/>
          <w:b w:val="0"/>
          <w:i w:val="0"/>
          <w:color w:val="1A2238"/>
          <w:sz w:val="21"/>
        </w:rPr>
        <w:t>Levantar el mapa nacional de brechas digitales críticas, identificando brechas de conectividad, competencias, servicios públicos, datos, ciberseguridad y adopción digital productiva por región</w:t>
      </w:r>
      <w:r>
        <w:rPr>
          <w:rFonts w:ascii="Calibri" w:hAnsi="Calibri"/>
          <w:b w:val="0"/>
          <w:i/>
          <w:color w:val="B8840E"/>
          <w:sz w:val="17"/>
        </w:rPr>
        <w:t xml:space="preserve">  [institucional]</w:t>
      </w:r>
    </w:p>
    <w:p>
      <w:pPr>
        <w:pStyle w:val="ListBullet"/>
      </w:pPr>
      <w:r>
        <w:rPr>
          <w:rFonts w:ascii="Calibri" w:hAnsi="Calibri"/>
          <w:b w:val="0"/>
          <w:i w:val="0"/>
          <w:color w:val="1A2238"/>
          <w:sz w:val="21"/>
        </w:rPr>
        <w:t>Seleccionar 10 servicios públicos digitales críticos de alto impacto ciudadano para convertirlos en servicios digitales de extremo a extremo</w:t>
      </w:r>
      <w:r>
        <w:rPr>
          <w:rFonts w:ascii="Calibri" w:hAnsi="Calibri"/>
          <w:b w:val="0"/>
          <w:i/>
          <w:color w:val="B8840E"/>
          <w:sz w:val="17"/>
        </w:rPr>
        <w:t xml:space="preserve">  [programa]</w:t>
      </w:r>
    </w:p>
    <w:p>
      <w:pPr>
        <w:pStyle w:val="ListBullet"/>
      </w:pPr>
      <w:r>
        <w:rPr>
          <w:rFonts w:ascii="Calibri" w:hAnsi="Calibri"/>
          <w:b w:val="0"/>
          <w:i w:val="0"/>
          <w:color w:val="1A2238"/>
          <w:sz w:val="21"/>
        </w:rPr>
        <w:t>Lanzar pilotos de alfabetización en IA y ciudadanía digital en colegios, institutos, universidades, centros de empleo y comunidades vulnerables</w:t>
      </w:r>
      <w:r>
        <w:rPr>
          <w:rFonts w:ascii="Calibri" w:hAnsi="Calibri"/>
          <w:b w:val="0"/>
          <w:i/>
          <w:color w:val="B8840E"/>
          <w:sz w:val="17"/>
        </w:rPr>
        <w:t xml:space="preserve">  [programa]</w:t>
      </w:r>
    </w:p>
    <w:p>
      <w:pPr>
        <w:pStyle w:val="ListBullet"/>
      </w:pPr>
      <w:r>
        <w:rPr>
          <w:rFonts w:ascii="Calibri" w:hAnsi="Calibri"/>
          <w:b w:val="0"/>
          <w:i w:val="0"/>
          <w:color w:val="1A2238"/>
          <w:sz w:val="21"/>
        </w:rPr>
        <w:t>Diseñar el Programa Nacional de IA para Problemas Públicos, seleccionando casos de uso en salud, educación, ambiente, seguridad, agricultura, justicia y trámites</w:t>
      </w:r>
      <w:r>
        <w:rPr>
          <w:rFonts w:ascii="Calibri" w:hAnsi="Calibri"/>
          <w:b w:val="0"/>
          <w:i/>
          <w:color w:val="B8840E"/>
          <w:sz w:val="17"/>
        </w:rPr>
        <w:t xml:space="preserve">  [programa]</w:t>
      </w:r>
    </w:p>
    <w:p>
      <w:pPr>
        <w:pStyle w:val="ListBullet"/>
      </w:pPr>
      <w:r>
        <w:rPr>
          <w:rFonts w:ascii="Calibri" w:hAnsi="Calibri"/>
          <w:b w:val="0"/>
          <w:i w:val="0"/>
          <w:color w:val="1A2238"/>
          <w:sz w:val="21"/>
        </w:rPr>
        <w:t>Formular el marco inicial de gobernanza ética de IA y datos, estableciendo principios de transparencia, privacidad, seguridad, no discriminación, auditoría y rendición de cuentas</w:t>
      </w:r>
      <w:r>
        <w:rPr>
          <w:rFonts w:ascii="Calibri" w:hAnsi="Calibri"/>
          <w:b w:val="0"/>
          <w:i/>
          <w:color w:val="B8840E"/>
          <w:sz w:val="17"/>
        </w:rPr>
        <w:t xml:space="preserve">  [regulación]</w:t>
      </w:r>
    </w:p>
    <w:p/>
    <w:p>
      <w:r>
        <w:rPr>
          <w:rFonts w:ascii="Calibri" w:hAnsi="Calibri"/>
          <w:b/>
          <w:i w:val="0"/>
          <w:color w:val="D91023"/>
          <w:sz w:val="30"/>
        </w:rPr>
        <w:t>Ciencia y Tecnología</w:t>
      </w:r>
    </w:p>
    <w:p>
      <w:r>
        <w:rPr>
          <w:rFonts w:ascii="Calibri" w:hAnsi="Calibri"/>
          <w:b w:val="0"/>
          <w:i/>
          <w:color w:val="5D6B88"/>
          <w:sz w:val="19"/>
        </w:rPr>
        <w:t>Eje: Economía del Conocimiento</w:t>
      </w:r>
    </w:p>
    <w:p>
      <w:pPr>
        <w:pStyle w:val="ListBullet"/>
      </w:pPr>
      <w:r>
        <w:rPr>
          <w:rFonts w:ascii="Calibri" w:hAnsi="Calibri"/>
          <w:b w:val="0"/>
          <w:i w:val="0"/>
          <w:color w:val="1A2238"/>
          <w:sz w:val="21"/>
        </w:rPr>
        <w:t>Aprobar y promulgar de manera urgente la Política Nacional de Ciencia y Tecnología (ley general transversal basada en el Modelo Japón 1987) que convierta a la Ciencia y Tecnología en la principal herramienta del Estado, fijando metas ambiciosas (Premios Nobel, patentes)</w:t>
      </w:r>
      <w:r>
        <w:rPr>
          <w:rFonts w:ascii="Calibri" w:hAnsi="Calibri"/>
          <w:b w:val="0"/>
          <w:i/>
          <w:color w:val="B8840E"/>
          <w:sz w:val="17"/>
        </w:rPr>
        <w:t xml:space="preserve">  [ley/regulación]</w:t>
      </w:r>
    </w:p>
    <w:p>
      <w:pPr>
        <w:pStyle w:val="ListBullet"/>
      </w:pPr>
      <w:r>
        <w:rPr>
          <w:rFonts w:ascii="Calibri" w:hAnsi="Calibri"/>
          <w:b w:val="0"/>
          <w:i w:val="0"/>
          <w:color w:val="1A2238"/>
          <w:sz w:val="21"/>
        </w:rPr>
        <w:t>Reestructurar normativamente la SUNEDU modificando la ley de educación para que la supervisión de la calidad audite toda la cadena de valor educativo ('como una faja industrial'), desde la cuna y no solo el pre y posgrado</w:t>
      </w:r>
      <w:r>
        <w:rPr>
          <w:rFonts w:ascii="Calibri" w:hAnsi="Calibri"/>
          <w:b w:val="0"/>
          <w:i/>
          <w:color w:val="B8840E"/>
          <w:sz w:val="17"/>
        </w:rPr>
        <w:t xml:space="preserve">  [ley/regulación (orientación)]</w:t>
      </w:r>
    </w:p>
    <w:p>
      <w:pPr>
        <w:pStyle w:val="ListBullet"/>
      </w:pPr>
      <w:r>
        <w:rPr>
          <w:rFonts w:ascii="Calibri" w:hAnsi="Calibri"/>
          <w:b w:val="0"/>
          <w:i w:val="0"/>
          <w:color w:val="1A2238"/>
          <w:sz w:val="21"/>
        </w:rPr>
        <w:t>Presentar y enviar al Congreso el Proyecto de Ley de Restricción Gradual a la Exportación de Materia Prima Cruda, que obligue en plazos definidos a que los contratos mineros incorporen cuotas de industrialización y fundición local antes de exportar a mercados de Asia y Europa</w:t>
      </w:r>
      <w:r>
        <w:rPr>
          <w:rFonts w:ascii="Calibri" w:hAnsi="Calibri"/>
          <w:b w:val="0"/>
          <w:i/>
          <w:color w:val="B8840E"/>
          <w:sz w:val="17"/>
        </w:rPr>
        <w:t xml:space="preserve">  [ley/regulación]</w:t>
      </w:r>
    </w:p>
    <w:p/>
    <w:p>
      <w:r>
        <w:rPr>
          <w:rFonts w:ascii="Calibri" w:hAnsi="Calibri"/>
          <w:b/>
          <w:i w:val="0"/>
          <w:color w:val="D91023"/>
          <w:sz w:val="30"/>
        </w:rPr>
        <w:t>Medio Ambiente</w:t>
      </w:r>
    </w:p>
    <w:p>
      <w:r>
        <w:rPr>
          <w:rFonts w:ascii="Calibri" w:hAnsi="Calibri"/>
          <w:b w:val="0"/>
          <w:i/>
          <w:color w:val="5D6B88"/>
          <w:sz w:val="19"/>
        </w:rPr>
        <w:t>Eje: Sostenibilidad y Ambiente</w:t>
      </w:r>
    </w:p>
    <w:p>
      <w:pPr>
        <w:pStyle w:val="ListBullet"/>
      </w:pPr>
      <w:r>
        <w:rPr>
          <w:rFonts w:ascii="Calibri" w:hAnsi="Calibri"/>
          <w:b w:val="0"/>
          <w:i w:val="0"/>
          <w:color w:val="1A2238"/>
          <w:sz w:val="21"/>
        </w:rPr>
        <w:t>Constituir la Mesa Tecnica Intersectorial (MINAM, MINJUSDH, OEFA y representantes del Poder Judicial) y redactar el primer borrador del anteproyecto de la Ley de Actividades y Delitos Ambientales Complejos, incluyendo el estatuto legal de los operadores de Nodos Circulares y el marco de incentivos tributarios municipales basados en pesaje digital segregado</w:t>
      </w:r>
      <w:r>
        <w:rPr>
          <w:rFonts w:ascii="Calibri" w:hAnsi="Calibri"/>
          <w:b w:val="0"/>
          <w:i/>
          <w:color w:val="B8840E"/>
          <w:sz w:val="17"/>
        </w:rPr>
        <w:t xml:space="preserve">  [ley/decreto]</w:t>
      </w:r>
    </w:p>
    <w:p>
      <w:pPr>
        <w:pStyle w:val="ListBullet"/>
      </w:pPr>
      <w:r>
        <w:rPr>
          <w:rFonts w:ascii="Calibri" w:hAnsi="Calibri"/>
          <w:b w:val="0"/>
          <w:i w:val="0"/>
          <w:color w:val="1A2238"/>
          <w:sz w:val="21"/>
        </w:rPr>
        <w:t>Formular y aprobar tecnicamente los terminos de referencia (TDR) para los estudios de preinversion del perfil de los primeros tres Nodos Circulares piloto en regiones estrategicas, vinculandolos formalmente al enfoque de Presupuesto por Resultados (PpR) y activando los Codigos Unicos de Inversion (CUI) en Invierte.pe</w:t>
      </w:r>
      <w:r>
        <w:rPr>
          <w:rFonts w:ascii="Calibri" w:hAnsi="Calibri"/>
          <w:b w:val="0"/>
          <w:i/>
          <w:color w:val="B8840E"/>
          <w:sz w:val="17"/>
        </w:rPr>
        <w:t xml:space="preserve">  [inversión]</w:t>
      </w:r>
    </w:p>
    <w:p/>
    <w:p>
      <w:r>
        <w:rPr>
          <w:rFonts w:ascii="Calibri" w:hAnsi="Calibri"/>
          <w:b/>
          <w:i w:val="0"/>
          <w:color w:val="D91023"/>
          <w:sz w:val="30"/>
        </w:rPr>
        <w:t>Telecomunicaciones</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Anunciar el cronograma de ejecucion de tres proyectos de conectividad en zona de selva: Napo-Putumayo, Manseriche y Alto Amazonas-Datem del Maranon (128 mil habitantes, 653 CCPP, 840 entidades publicas y 743 centros digitales de acceso publico WiFi)</w:t>
      </w:r>
      <w:r>
        <w:rPr>
          <w:rFonts w:ascii="Calibri" w:hAnsi="Calibri"/>
          <w:b w:val="0"/>
          <w:i/>
          <w:color w:val="B8840E"/>
          <w:sz w:val="17"/>
        </w:rPr>
        <w:t xml:space="preserve">  [programa/inversion]</w:t>
      </w:r>
    </w:p>
    <w:p>
      <w:pPr>
        <w:pStyle w:val="ListBullet"/>
      </w:pPr>
      <w:r>
        <w:rPr>
          <w:rFonts w:ascii="Calibri" w:hAnsi="Calibri"/>
          <w:b w:val="0"/>
          <w:i w:val="0"/>
          <w:color w:val="1A2238"/>
          <w:sz w:val="21"/>
        </w:rPr>
        <w:t>Anunciar la implementacion del nuevo modelo de negocio para la RDNFO y las Redes Regionales, integrandolas en la RDNFOA (Red Nacional de Fibra Optica Ampliada) con alquiler de capacidades de transporte a tarifa unica por Gigabyte</w:t>
      </w:r>
      <w:r>
        <w:rPr>
          <w:rFonts w:ascii="Calibri" w:hAnsi="Calibri"/>
          <w:b w:val="0"/>
          <w:i/>
          <w:color w:val="B8840E"/>
          <w:sz w:val="17"/>
        </w:rPr>
        <w:t xml:space="preserve">  [institucional/regulacion]</w:t>
      </w:r>
    </w:p>
    <w:p>
      <w:pPr>
        <w:pStyle w:val="ListBullet"/>
      </w:pPr>
      <w:r>
        <w:rPr>
          <w:rFonts w:ascii="Calibri" w:hAnsi="Calibri"/>
          <w:b w:val="0"/>
          <w:i w:val="0"/>
          <w:color w:val="1A2238"/>
          <w:sz w:val="21"/>
        </w:rPr>
        <w:t>Anunciar la implementacion de la REDNACE, red privada del Estado que interconecta todas las entidades de la administracion publica mediante enlaces de banda ancha y tecnologias tipo VPN usando un porcentaje de la capacidad instalada de la RDNFO</w:t>
      </w:r>
      <w:r>
        <w:rPr>
          <w:rFonts w:ascii="Calibri" w:hAnsi="Calibri"/>
          <w:b w:val="0"/>
          <w:i/>
          <w:color w:val="B8840E"/>
          <w:sz w:val="17"/>
        </w:rPr>
        <w:t xml:space="preserve">  [institucional/inversion]</w:t>
      </w:r>
    </w:p>
    <w:p/>
    <w:p>
      <w:r>
        <w:rPr>
          <w:rFonts w:ascii="Calibri" w:hAnsi="Calibri"/>
          <w:b/>
          <w:i w:val="0"/>
          <w:color w:val="D91023"/>
          <w:sz w:val="30"/>
        </w:rPr>
        <w:t>Desarrollo Humano e Industrialización</w:t>
      </w:r>
    </w:p>
    <w:p>
      <w:r>
        <w:rPr>
          <w:rFonts w:ascii="Calibri" w:hAnsi="Calibri"/>
          <w:b w:val="0"/>
          <w:i/>
          <w:color w:val="5D6B88"/>
          <w:sz w:val="19"/>
        </w:rPr>
        <w:t>Eje: Competitividad</w:t>
      </w:r>
    </w:p>
    <w:p>
      <w:pPr>
        <w:pStyle w:val="ListBullet"/>
      </w:pPr>
      <w:r>
        <w:rPr>
          <w:rFonts w:ascii="Calibri" w:hAnsi="Calibri"/>
          <w:b w:val="0"/>
          <w:i w:val="0"/>
          <w:color w:val="1A2238"/>
          <w:sz w:val="21"/>
        </w:rPr>
        <w:t>Convocatoria diplomática para la OPPC: iniciar cumbres bilaterales inmediatas con Chile, Zambia y la R.D. del Congo para la firma del tratado fundacional de la OPPC. El boom de demanda de cobre es temporal (estimado en 20-25 años antes de reemplazos tecnológicos), por lo que se debe actuar de inmediato para asegurar la fuente de financiamiento del plan.</w:t>
      </w:r>
      <w:r>
        <w:rPr>
          <w:rFonts w:ascii="Calibri" w:hAnsi="Calibri"/>
          <w:b w:val="0"/>
          <w:i/>
          <w:color w:val="B8840E"/>
          <w:sz w:val="17"/>
        </w:rPr>
        <w:t xml:space="preserve">  [Orientación]</w:t>
      </w:r>
    </w:p>
    <w:p>
      <w:pPr>
        <w:pStyle w:val="ListBullet"/>
      </w:pPr>
      <w:r>
        <w:rPr>
          <w:rFonts w:ascii="Calibri" w:hAnsi="Calibri"/>
          <w:b w:val="0"/>
          <w:i w:val="0"/>
          <w:color w:val="1A2238"/>
          <w:sz w:val="21"/>
        </w:rPr>
        <w:t>Lanzamiento del Programa Alimentario y de Infraestructura Escolar: asignación del presupuesto inicial (apalancado con el bajo nivel de endeudamiento nacional actual, 33%) para iniciar la alimentación de madres y niños, la construcción de escuelas y la instalación de agua/desagüe. La inversión en capital humano no admite demoras burocráticas porque un niño que nace con desnutrición tendrá daños irreversibles.</w:t>
      </w:r>
      <w:r>
        <w:rPr>
          <w:rFonts w:ascii="Calibri" w:hAnsi="Calibri"/>
          <w:b w:val="0"/>
          <w:i/>
          <w:color w:val="B8840E"/>
          <w:sz w:val="17"/>
        </w:rPr>
        <w:t xml:space="preserve">  [Inversión]</w:t>
      </w:r>
    </w:p>
    <w:p>
      <w:pPr>
        <w:pStyle w:val="ListBullet"/>
      </w:pPr>
      <w:r>
        <w:rPr>
          <w:rFonts w:ascii="Calibri" w:hAnsi="Calibri"/>
          <w:b w:val="0"/>
          <w:i w:val="0"/>
          <w:color w:val="1A2238"/>
          <w:sz w:val="21"/>
        </w:rPr>
        <w:t>Modificación de la Ley de Donaciones Educativas y Fomento Industrial: cambiar la ley de aportes a universidades para que el 10% donado por la empresa privada se deduzca del resultado final del año y no antes del reparto de utilidades de los trabajadores; promulgar directivas que exijan transferencia tecnológica y prohíban compras militares/navales 'llave en mano' al extranjero, asegurando que el gasto público se quede en la economía peruana.</w:t>
      </w:r>
      <w:r>
        <w:rPr>
          <w:rFonts w:ascii="Calibri" w:hAnsi="Calibri"/>
          <w:b w:val="0"/>
          <w:i/>
          <w:color w:val="B8840E"/>
          <w:sz w:val="17"/>
        </w:rPr>
        <w:t xml:space="preserve">  [Regulación]</w:t>
      </w:r>
    </w:p>
    <w:p/>
    <w:p>
      <w:r>
        <w:rPr>
          <w:rFonts w:ascii="Calibri" w:hAnsi="Calibri"/>
          <w:b/>
          <w:i w:val="0"/>
          <w:color w:val="D91023"/>
          <w:sz w:val="30"/>
        </w:rPr>
        <w:t>Comercio Exterior e Inserción en el Mercado Externo</w:t>
      </w:r>
    </w:p>
    <w:p>
      <w:r>
        <w:rPr>
          <w:rFonts w:ascii="Calibri" w:hAnsi="Calibri"/>
          <w:b w:val="0"/>
          <w:i/>
          <w:color w:val="5D6B88"/>
          <w:sz w:val="19"/>
        </w:rPr>
        <w:t>Eje: Competitividad</w:t>
      </w:r>
    </w:p>
    <w:p>
      <w:pPr>
        <w:pStyle w:val="ListBullet"/>
      </w:pPr>
      <w:r>
        <w:rPr>
          <w:rFonts w:ascii="Calibri" w:hAnsi="Calibri"/>
          <w:b w:val="0"/>
          <w:i w:val="0"/>
          <w:color w:val="1A2238"/>
          <w:sz w:val="21"/>
        </w:rPr>
        <w:t>Fomentar la asociatividad en la agroexportación de productos orgánicos: orientar los esfuerzos de las agrupaciones regionales de nichos productores para lograr una oferta exportable sostenida.</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Potenciar la transformación productiva con valor agregado: ubicar los nichos de mercado interesados en productos similares para desarrollar una asociatividad eficaz y atender la demanda de exportación con valor agregado.</w:t>
      </w:r>
      <w:r>
        <w:rPr>
          <w:rFonts w:ascii="Calibri" w:hAnsi="Calibri"/>
          <w:b w:val="0"/>
          <w:i/>
          <w:color w:val="B8840E"/>
          <w:sz w:val="17"/>
        </w:rPr>
        <w:t xml:space="preserve">  [Acción inmediata prioritaria (IGO)]</w:t>
      </w:r>
    </w:p>
    <w:p>
      <w:pPr>
        <w:pStyle w:val="ListBullet"/>
      </w:pPr>
      <w:r>
        <w:rPr>
          <w:rFonts w:ascii="Calibri" w:hAnsi="Calibri"/>
          <w:b w:val="0"/>
          <w:i w:val="0"/>
          <w:color w:val="1A2238"/>
          <w:sz w:val="21"/>
        </w:rPr>
        <w:t>Creación de una organización de Desarrollo de Software para TIC's: reclutamiento de profesionales de alto nivel y experiencia para ejecutar el plan metodológico y la transferencia de conocimientos de tecnologías modernas en el uso de TIC's.</w:t>
      </w:r>
      <w:r>
        <w:rPr>
          <w:rFonts w:ascii="Calibri" w:hAnsi="Calibri"/>
          <w:b w:val="0"/>
          <w:i/>
          <w:color w:val="B8840E"/>
          <w:sz w:val="17"/>
        </w:rPr>
        <w:t xml:space="preserve">  [Acción inmediata prioritaria (IGO)]</w:t>
      </w:r>
    </w:p>
    <w:p/>
    <w:p>
      <w:r>
        <w:rPr>
          <w:rFonts w:ascii="Calibri" w:hAnsi="Calibri"/>
          <w:b/>
          <w:i w:val="0"/>
          <w:color w:val="D91023"/>
          <w:sz w:val="30"/>
        </w:rPr>
        <w:t>Infraestructura y Construcción</w:t>
      </w:r>
    </w:p>
    <w:p>
      <w:r>
        <w:rPr>
          <w:rFonts w:ascii="Calibri" w:hAnsi="Calibri"/>
          <w:b w:val="0"/>
          <w:i/>
          <w:color w:val="5D6B88"/>
          <w:sz w:val="19"/>
        </w:rPr>
        <w:t>Eje: Infraestructura y Conectividad</w:t>
      </w:r>
    </w:p>
    <w:p>
      <w:pPr>
        <w:pStyle w:val="ListBullet"/>
      </w:pPr>
      <w:r>
        <w:rPr>
          <w:rFonts w:ascii="Calibri" w:hAnsi="Calibri"/>
          <w:b w:val="0"/>
          <w:i w:val="0"/>
          <w:color w:val="1A2238"/>
          <w:sz w:val="21"/>
        </w:rPr>
        <w:t>Implementar el Sistema de Planificación de la Infraestructura.</w:t>
      </w:r>
      <w:r>
        <w:rPr>
          <w:rFonts w:ascii="Calibri" w:hAnsi="Calibri"/>
          <w:b w:val="0"/>
          <w:i/>
          <w:color w:val="B8840E"/>
          <w:sz w:val="17"/>
        </w:rPr>
        <w:t xml:space="preserve">  [Gestión / Planificación]</w:t>
      </w:r>
    </w:p>
    <w:p>
      <w:pPr>
        <w:pStyle w:val="ListBullet"/>
      </w:pPr>
      <w:r>
        <w:rPr>
          <w:rFonts w:ascii="Calibri" w:hAnsi="Calibri"/>
          <w:b w:val="0"/>
          <w:i w:val="0"/>
          <w:color w:val="1A2238"/>
          <w:sz w:val="21"/>
        </w:rPr>
        <w:t>Definir la asignación de las competencias sobre la infraestructura entre niveles de gobierno.</w:t>
      </w:r>
      <w:r>
        <w:rPr>
          <w:rFonts w:ascii="Calibri" w:hAnsi="Calibri"/>
          <w:b w:val="0"/>
          <w:i/>
          <w:color w:val="B8840E"/>
          <w:sz w:val="17"/>
        </w:rPr>
        <w:t xml:space="preserve">  [Institucional / Normativo]</w:t>
      </w:r>
    </w:p>
    <w:p>
      <w:pPr>
        <w:pStyle w:val="ListBullet"/>
      </w:pPr>
      <w:r>
        <w:rPr>
          <w:rFonts w:ascii="Calibri" w:hAnsi="Calibri"/>
          <w:b w:val="0"/>
          <w:i w:val="0"/>
          <w:color w:val="1A2238"/>
          <w:sz w:val="21"/>
        </w:rPr>
        <w:t>Incrementar el presupuesto de inversión pública en infraestructura.</w:t>
      </w:r>
      <w:r>
        <w:rPr>
          <w:rFonts w:ascii="Calibri" w:hAnsi="Calibri"/>
          <w:b w:val="0"/>
          <w:i/>
          <w:color w:val="B8840E"/>
          <w:sz w:val="17"/>
        </w:rPr>
        <w:t xml:space="preserve">  [Financiamiento / Presupuesto]</w:t>
      </w:r>
    </w:p>
    <w:p>
      <w:pPr>
        <w:pStyle w:val="ListBullet"/>
      </w:pPr>
      <w:r>
        <w:rPr>
          <w:rFonts w:ascii="Calibri" w:hAnsi="Calibri"/>
          <w:b w:val="0"/>
          <w:i w:val="0"/>
          <w:color w:val="1A2238"/>
          <w:sz w:val="21"/>
        </w:rPr>
        <w:t>Acelerar el proceso de participación de la inversión privada e institucionalizar la gestión de la infraestructura.</w:t>
      </w:r>
      <w:r>
        <w:rPr>
          <w:rFonts w:ascii="Calibri" w:hAnsi="Calibri"/>
          <w:b w:val="0"/>
          <w:i/>
          <w:color w:val="B8840E"/>
          <w:sz w:val="17"/>
        </w:rPr>
        <w:t xml:space="preserve">  [Inversión privada / APP]</w:t>
      </w:r>
    </w:p>
    <w:p/>
    <w:p>
      <w:r>
        <w:rPr>
          <w:rFonts w:ascii="Calibri" w:hAnsi="Calibri"/>
          <w:b/>
          <w:i w:val="0"/>
          <w:color w:val="D91023"/>
          <w:sz w:val="30"/>
        </w:rPr>
        <w:t>Minería</w:t>
      </w:r>
    </w:p>
    <w:p>
      <w:r>
        <w:rPr>
          <w:rFonts w:ascii="Calibri" w:hAnsi="Calibri"/>
          <w:b w:val="0"/>
          <w:i/>
          <w:color w:val="5D6B88"/>
          <w:sz w:val="19"/>
        </w:rPr>
        <w:t>Eje: Competitividad</w:t>
      </w:r>
    </w:p>
    <w:p>
      <w:pPr>
        <w:pStyle w:val="ListBullet"/>
      </w:pPr>
      <w:r>
        <w:rPr>
          <w:rFonts w:ascii="Calibri" w:hAnsi="Calibri"/>
          <w:b w:val="0"/>
          <w:i w:val="0"/>
          <w:color w:val="1A2238"/>
          <w:sz w:val="21"/>
        </w:rPr>
        <w:t>Generar una nueva política que permita concertar de manera racional, informada y democrática al Estado con las poblaciones (comunidades, cooperativas) y quienes llevan a cabo actividades mineras, para evitar cualquier tipo de conflicto.</w:t>
      </w:r>
      <w:r>
        <w:rPr>
          <w:rFonts w:ascii="Calibri" w:hAnsi="Calibri"/>
          <w:b w:val="0"/>
          <w:i/>
          <w:color w:val="B8840E"/>
          <w:sz w:val="17"/>
        </w:rPr>
        <w:t xml:space="preserve">  [Normativo / Diálogo]</w:t>
      </w:r>
    </w:p>
    <w:p>
      <w:pPr>
        <w:pStyle w:val="ListBullet"/>
      </w:pPr>
      <w:r>
        <w:rPr>
          <w:rFonts w:ascii="Calibri" w:hAnsi="Calibri"/>
          <w:b w:val="0"/>
          <w:i w:val="0"/>
          <w:color w:val="1A2238"/>
          <w:sz w:val="21"/>
        </w:rPr>
        <w:t>Impulsar la inversión en investigación e innovación de los procesos tecnológicos mineros, con presencia del entorno empresarial.</w:t>
      </w:r>
      <w:r>
        <w:rPr>
          <w:rFonts w:ascii="Calibri" w:hAnsi="Calibri"/>
          <w:b w:val="0"/>
          <w:i/>
          <w:color w:val="B8840E"/>
          <w:sz w:val="17"/>
        </w:rPr>
        <w:t xml:space="preserve">  [Inversión / I+D]</w:t>
      </w:r>
    </w:p>
    <w:p>
      <w:pPr>
        <w:pStyle w:val="ListBullet"/>
      </w:pPr>
      <w:r>
        <w:rPr>
          <w:rFonts w:ascii="Calibri" w:hAnsi="Calibri"/>
          <w:b w:val="0"/>
          <w:i w:val="0"/>
          <w:color w:val="1A2238"/>
          <w:sz w:val="21"/>
        </w:rPr>
        <w:t>Promover la generación de clústeres en los que convivan extracción, investigación y comunidad para generar mano de obra de mayor calidad y compenetrada con su entorno.</w:t>
      </w:r>
      <w:r>
        <w:rPr>
          <w:rFonts w:ascii="Calibri" w:hAnsi="Calibri"/>
          <w:b w:val="0"/>
          <w:i/>
          <w:color w:val="B8840E"/>
          <w:sz w:val="17"/>
        </w:rPr>
        <w:t xml:space="preserve">  [Articulación / Productivo]</w:t>
      </w:r>
    </w:p>
    <w:p>
      <w:pPr>
        <w:pStyle w:val="ListBullet"/>
      </w:pPr>
      <w:r>
        <w:rPr>
          <w:rFonts w:ascii="Calibri" w:hAnsi="Calibri"/>
          <w:b w:val="0"/>
          <w:i w:val="0"/>
          <w:color w:val="1A2238"/>
          <w:sz w:val="21"/>
        </w:rPr>
        <w:t>Investigar productos con mayor valor agregado que permitan abrir nuevos mercados y generar mayor oferta exportable.</w:t>
      </w:r>
      <w:r>
        <w:rPr>
          <w:rFonts w:ascii="Calibri" w:hAnsi="Calibri"/>
          <w:b w:val="0"/>
          <w:i/>
          <w:color w:val="B8840E"/>
          <w:sz w:val="17"/>
        </w:rPr>
        <w:t xml:space="preserve">  [I+D / Comercio exterior]</w:t>
      </w:r>
    </w:p>
    <w:p/>
    <w:p>
      <w:r>
        <w:rPr>
          <w:rFonts w:ascii="Calibri" w:hAnsi="Calibri"/>
          <w:b/>
          <w:i w:val="0"/>
          <w:color w:val="D91023"/>
          <w:sz w:val="30"/>
        </w:rPr>
        <w:t>MYPE / MIPYMES</w:t>
      </w:r>
    </w:p>
    <w:p>
      <w:r>
        <w:rPr>
          <w:rFonts w:ascii="Calibri" w:hAnsi="Calibri"/>
          <w:b w:val="0"/>
          <w:i/>
          <w:color w:val="5D6B88"/>
          <w:sz w:val="19"/>
        </w:rPr>
        <w:t>Eje: Competitividad</w:t>
      </w:r>
    </w:p>
    <w:p>
      <w:pPr>
        <w:pStyle w:val="ListBullet"/>
      </w:pPr>
      <w:r>
        <w:rPr>
          <w:rFonts w:ascii="Calibri" w:hAnsi="Calibri"/>
          <w:b w:val="0"/>
          <w:i w:val="0"/>
          <w:color w:val="1A2238"/>
          <w:sz w:val="21"/>
        </w:rPr>
        <w:t>Sensibilizar a las MYPE en la importancia de tener un plan de negocios.</w:t>
      </w:r>
      <w:r>
        <w:rPr>
          <w:rFonts w:ascii="Calibri" w:hAnsi="Calibri"/>
          <w:b w:val="0"/>
          <w:i/>
          <w:color w:val="B8840E"/>
          <w:sz w:val="17"/>
        </w:rPr>
        <w:t xml:space="preserve">  [Inmediata]</w:t>
      </w:r>
    </w:p>
    <w:p>
      <w:pPr>
        <w:pStyle w:val="ListBullet"/>
      </w:pPr>
      <w:r>
        <w:rPr>
          <w:rFonts w:ascii="Calibri" w:hAnsi="Calibri"/>
          <w:b w:val="0"/>
          <w:i w:val="0"/>
          <w:color w:val="1A2238"/>
          <w:sz w:val="21"/>
        </w:rPr>
        <w:t>Crear programas de formación en planes de negocio desde las municipalidades y gobiernos regionales.</w:t>
      </w:r>
      <w:r>
        <w:rPr>
          <w:rFonts w:ascii="Calibri" w:hAnsi="Calibri"/>
          <w:b w:val="0"/>
          <w:i/>
          <w:color w:val="B8840E"/>
          <w:sz w:val="17"/>
        </w:rPr>
        <w:t xml:space="preserve">  [Inmediata]</w:t>
      </w:r>
    </w:p>
    <w:p>
      <w:pPr>
        <w:pStyle w:val="ListBullet"/>
      </w:pPr>
      <w:r>
        <w:rPr>
          <w:rFonts w:ascii="Calibri" w:hAnsi="Calibri"/>
          <w:b w:val="0"/>
          <w:i w:val="0"/>
          <w:color w:val="1A2238"/>
          <w:sz w:val="21"/>
        </w:rPr>
        <w:t>Creación de programas y convenios de interacción dinámica entre universidades (egresados experimentados, estudiantes y profesores) y gremios empresariales, impulsados por los gobiernos regionales.</w:t>
      </w:r>
      <w:r>
        <w:rPr>
          <w:rFonts w:ascii="Calibri" w:hAnsi="Calibri"/>
          <w:b w:val="0"/>
          <w:i/>
          <w:color w:val="B8840E"/>
          <w:sz w:val="17"/>
        </w:rPr>
        <w:t xml:space="preserve">  [Inmediata]</w:t>
      </w:r>
    </w:p>
    <w:p>
      <w:pPr>
        <w:pStyle w:val="ListBullet"/>
      </w:pPr>
      <w:r>
        <w:rPr>
          <w:rFonts w:ascii="Calibri" w:hAnsi="Calibri"/>
          <w:b w:val="0"/>
          <w:i w:val="0"/>
          <w:color w:val="1A2238"/>
          <w:sz w:val="21"/>
        </w:rPr>
        <w:t>Creación de incubadoras de empresa en las universidades e institutos tecnológicos estatales.</w:t>
      </w:r>
      <w:r>
        <w:rPr>
          <w:rFonts w:ascii="Calibri" w:hAnsi="Calibri"/>
          <w:b w:val="0"/>
          <w:i/>
          <w:color w:val="B8840E"/>
          <w:sz w:val="17"/>
        </w:rPr>
        <w:t xml:space="preserve">  [Inmediata]</w:t>
      </w:r>
    </w:p>
    <w:p>
      <w:pPr>
        <w:pStyle w:val="ListBullet"/>
      </w:pPr>
      <w:r>
        <w:rPr>
          <w:rFonts w:ascii="Calibri" w:hAnsi="Calibri"/>
          <w:b w:val="0"/>
          <w:i w:val="0"/>
          <w:color w:val="1A2238"/>
          <w:sz w:val="21"/>
        </w:rPr>
        <w:t>Crear programas de profesionalización para empresarios.</w:t>
      </w:r>
      <w:r>
        <w:rPr>
          <w:rFonts w:ascii="Calibri" w:hAnsi="Calibri"/>
          <w:b w:val="0"/>
          <w:i/>
          <w:color w:val="B8840E"/>
          <w:sz w:val="17"/>
        </w:rPr>
        <w:t xml:space="preserve">  [Inmediata]</w:t>
      </w:r>
    </w:p>
    <w:p/>
    <w:p>
      <w:r>
        <w:rPr>
          <w:rFonts w:ascii="Calibri" w:hAnsi="Calibri"/>
          <w:b/>
          <w:i w:val="0"/>
          <w:color w:val="D91023"/>
          <w:sz w:val="30"/>
        </w:rPr>
        <w:t>Pesca</w:t>
      </w:r>
    </w:p>
    <w:p>
      <w:r>
        <w:rPr>
          <w:rFonts w:ascii="Calibri" w:hAnsi="Calibri"/>
          <w:b w:val="0"/>
          <w:i/>
          <w:color w:val="5D6B88"/>
          <w:sz w:val="19"/>
        </w:rPr>
        <w:t>Eje: Sostenibilidad y Ambiente</w:t>
      </w:r>
    </w:p>
    <w:p>
      <w:pPr>
        <w:pStyle w:val="ListBullet"/>
      </w:pPr>
      <w:r>
        <w:rPr>
          <w:rFonts w:ascii="Calibri" w:hAnsi="Calibri"/>
          <w:b w:val="0"/>
          <w:i w:val="0"/>
          <w:color w:val="1A2238"/>
          <w:sz w:val="21"/>
        </w:rPr>
        <w:t>Refundar el Ministerio de Pesquería.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Creación del Instituto Nacional de Acuicultura.</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Fortalecimiento del IMARPE.</w:t>
      </w:r>
      <w:r>
        <w:rPr>
          <w:rFonts w:ascii="Calibri" w:hAnsi="Calibri"/>
          <w:b w:val="0"/>
          <w:i/>
          <w:color w:val="B8840E"/>
          <w:sz w:val="17"/>
        </w:rPr>
        <w:t xml:space="preserve">  [Fortalecimiento institucional]</w:t>
      </w:r>
    </w:p>
    <w:p>
      <w:pPr>
        <w:pStyle w:val="ListBullet"/>
      </w:pPr>
      <w:r>
        <w:rPr>
          <w:rFonts w:ascii="Calibri" w:hAnsi="Calibri"/>
          <w:b w:val="0"/>
          <w:i w:val="0"/>
          <w:color w:val="1A2238"/>
          <w:sz w:val="21"/>
        </w:rPr>
        <w:t>Fortalecer la Autoridad de Seguimiento, Control y Vigilancia del sector.</w:t>
      </w:r>
      <w:r>
        <w:rPr>
          <w:rFonts w:ascii="Calibri" w:hAnsi="Calibri"/>
          <w:b w:val="0"/>
          <w:i/>
          <w:color w:val="B8840E"/>
          <w:sz w:val="17"/>
        </w:rPr>
        <w:t xml:space="preserve">  [Control y vigilancia]</w:t>
      </w:r>
    </w:p>
    <w:p>
      <w:pPr>
        <w:pStyle w:val="ListBullet"/>
      </w:pPr>
      <w:r>
        <w:rPr>
          <w:rFonts w:ascii="Calibri" w:hAnsi="Calibri"/>
          <w:b w:val="0"/>
          <w:i w:val="0"/>
          <w:color w:val="1A2238"/>
          <w:sz w:val="21"/>
        </w:rPr>
        <w:t>Separación y reforzamiento del ITP - SANIPES.</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Declarar el quinquenio de la acuicultura en el Perú.</w:t>
      </w:r>
      <w:r>
        <w:rPr>
          <w:rFonts w:ascii="Calibri" w:hAnsi="Calibri"/>
          <w:b w:val="0"/>
          <w:i/>
          <w:color w:val="B8840E"/>
          <w:sz w:val="17"/>
        </w:rPr>
        <w:t xml:space="preserve">  [Declaratoria de política]</w:t>
      </w:r>
    </w:p>
    <w:p>
      <w:pPr>
        <w:pStyle w:val="ListBullet"/>
      </w:pPr>
      <w:r>
        <w:rPr>
          <w:rFonts w:ascii="Calibri" w:hAnsi="Calibri"/>
          <w:b w:val="0"/>
          <w:i w:val="0"/>
          <w:color w:val="1A2238"/>
          <w:sz w:val="21"/>
        </w:rPr>
        <w:t>Integrar el Instituto Antártico al Instituto del Mar del Perú.</w:t>
      </w:r>
      <w:r>
        <w:rPr>
          <w:rFonts w:ascii="Calibri" w:hAnsi="Calibri"/>
          <w:b w:val="0"/>
          <w:i/>
          <w:color w:val="B8840E"/>
          <w:sz w:val="17"/>
        </w:rPr>
        <w:t xml:space="preserve">  [Reforma institucional]</w:t>
      </w:r>
    </w:p>
    <w:p>
      <w:pPr>
        <w:pStyle w:val="ListBullet"/>
      </w:pPr>
      <w:r>
        <w:rPr>
          <w:rFonts w:ascii="Calibri" w:hAnsi="Calibri"/>
          <w:b w:val="0"/>
          <w:i w:val="0"/>
          <w:color w:val="1A2238"/>
          <w:sz w:val="21"/>
        </w:rPr>
        <w:t>Promover la implementación de la flota nacional de pesca de altura.</w:t>
      </w:r>
      <w:r>
        <w:rPr>
          <w:rFonts w:ascii="Calibri" w:hAnsi="Calibri"/>
          <w:b w:val="0"/>
          <w:i/>
          <w:color w:val="B8840E"/>
          <w:sz w:val="17"/>
        </w:rPr>
        <w:t xml:space="preserve">  [Inversión productiva]</w:t>
      </w:r>
    </w:p>
    <w:p>
      <w:pPr>
        <w:pStyle w:val="ListBullet"/>
      </w:pPr>
      <w:r>
        <w:rPr>
          <w:rFonts w:ascii="Calibri" w:hAnsi="Calibri"/>
          <w:b w:val="0"/>
          <w:i w:val="0"/>
          <w:color w:val="1A2238"/>
          <w:sz w:val="21"/>
        </w:rPr>
        <w:t>Dinamizar las acciones del sector en la ejecución de programas sociales orientados a incrementar el consumo de pescado.</w:t>
      </w:r>
      <w:r>
        <w:rPr>
          <w:rFonts w:ascii="Calibri" w:hAnsi="Calibri"/>
          <w:b w:val="0"/>
          <w:i/>
          <w:color w:val="B8840E"/>
          <w:sz w:val="17"/>
        </w:rPr>
        <w:t xml:space="preserve">  [Programa social]</w:t>
      </w:r>
    </w:p>
    <w:p>
      <w:pPr>
        <w:pStyle w:val="ListBullet"/>
      </w:pPr>
      <w:r>
        <w:rPr>
          <w:rFonts w:ascii="Calibri" w:hAnsi="Calibri"/>
          <w:b w:val="0"/>
          <w:i w:val="0"/>
          <w:color w:val="1A2238"/>
          <w:sz w:val="21"/>
        </w:rPr>
        <w:t>Proponer la participación activa del profesional pesquero en la gestión del sector pesquero.</w:t>
      </w:r>
      <w:r>
        <w:rPr>
          <w:rFonts w:ascii="Calibri" w:hAnsi="Calibri"/>
          <w:b w:val="0"/>
          <w:i/>
          <w:color w:val="B8840E"/>
          <w:sz w:val="17"/>
        </w:rPr>
        <w:t xml:space="preserve">  [Gobernanza sectorial]</w:t>
      </w:r>
    </w:p>
    <w:p/>
    <w:p>
      <w:r>
        <w:rPr>
          <w:rFonts w:ascii="Calibri" w:hAnsi="Calibri"/>
          <w:b w:val="0"/>
          <w:i/>
          <w:color w:val="5D6B88"/>
          <w:sz w:val="16"/>
        </w:rPr>
        <w:t>Documento generado a partir del dashboard del Plan Perú 2050. unimauro.github.io/plan-peru-2050</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