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B8840E"/>
          <w:sz w:val="22"/>
        </w:rPr>
        <w:t>PLAN PERÚ 2050</w:t>
      </w:r>
      <w:r>
        <w:br/>
      </w:r>
      <w:r>
        <w:rPr>
          <w:rFonts w:ascii="Calibri" w:hAnsi="Calibri"/>
          <w:b w:val="0"/>
          <w:i w:val="0"/>
          <w:color w:val="5D6B88"/>
          <w:sz w:val="18"/>
        </w:rPr>
        <w:t>CNPP — Colegio de Ingenieros del Perú</w:t>
      </w:r>
    </w:p>
    <w:p>
      <w:r>
        <w:rPr>
          <w:rFonts w:ascii="Calibri" w:hAnsi="Calibri"/>
          <w:b/>
          <w:i w:val="0"/>
          <w:color w:val="D91023"/>
          <w:sz w:val="44"/>
        </w:rPr>
        <w:t>Términos de Referencia</w:t>
      </w:r>
    </w:p>
    <w:p>
      <w:r>
        <w:rPr>
          <w:rFonts w:ascii="Calibri" w:hAnsi="Calibri"/>
          <w:b w:val="0"/>
          <w:i/>
          <w:color w:val="1A2238"/>
          <w:sz w:val="24"/>
        </w:rPr>
        <w:t>Servicio de modelamiento analítico, estructuración de datos y formulación estratégica del Plan Perú 2050</w:t>
      </w:r>
    </w:p>
    <w:p>
      <w:r>
        <w:rPr>
          <w:rFonts w:ascii="Calibri" w:hAnsi="Calibri"/>
          <w:b/>
          <w:i w:val="0"/>
          <w:color w:val="D91023"/>
          <w:sz w:val="26"/>
        </w:rPr>
        <w:t>1. Objeto</w:t>
      </w:r>
    </w:p>
    <w:p>
      <w:r>
        <w:rPr>
          <w:rFonts w:ascii="Calibri" w:hAnsi="Calibri"/>
          <w:b w:val="0"/>
          <w:i w:val="0"/>
          <w:color w:val="1A2238"/>
          <w:sz w:val="21"/>
        </w:rPr>
        <w:t>Contratar un servicio profesional especializado para el modelamiento analítico, la estructuración de fuentes de información, la simulación de indicadores y la formulación estratégica del Plan Perú 2050, sobre la base de las redacciones de las Comisiones Temáticas Nacionales del CIP, materializado en un tablero (dashboard) interactivo de acceso público y en documentos técnicos descargables.</w:t>
      </w:r>
    </w:p>
    <w:p>
      <w:r>
        <w:rPr>
          <w:rFonts w:ascii="Calibri" w:hAnsi="Calibri"/>
          <w:b/>
          <w:i w:val="0"/>
          <w:color w:val="D91023"/>
          <w:sz w:val="26"/>
        </w:rPr>
        <w:t>2. Objetivos específicos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Modelar y visualizar la información de las comisiones en un dashboard para la toma de decisiones estratégicas.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Estructurar fuentes oficiales y públicas que den soporte cuantitativo a los trabajos de las comisiones.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Simular indicadores clave para evaluar escenarios futuros al 2030, 2040 y 2050.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Articular transversalmente las temáticas de las comisiones, alineándolas a las Políticas de Estado del Acuerdo Nacional, al Plan Estratégico de Desarrollo Nacional (PEDN al 2050) y a los Programas Presupuestales del MEF.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Formular la síntesis estratégica del Plan por ejes (institucional, social, ambiental y económico).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Producir la hoja de ruta para los primeros 100 días por ejes, a partir de la información de las comisiones.</w:t>
      </w:r>
    </w:p>
    <w:p>
      <w:r>
        <w:rPr>
          <w:rFonts w:ascii="Calibri" w:hAnsi="Calibri"/>
          <w:b/>
          <w:i w:val="0"/>
          <w:color w:val="D91023"/>
          <w:sz w:val="26"/>
        </w:rPr>
        <w:t>3. Actividades, productos y cronograma (3 meses)</w:t>
      </w:r>
    </w:p>
    <w:p>
      <w:r>
        <w:rPr>
          <w:rFonts w:ascii="Calibri" w:hAnsi="Calibri"/>
          <w:b/>
          <w:i w:val="0"/>
          <w:color w:val="B8840E"/>
          <w:sz w:val="23"/>
        </w:rPr>
        <w:t>Hito 1 — Mes 1: Modelamiento, fuentes y simulación</w:t>
      </w:r>
    </w:p>
    <w:p>
      <w:r>
        <w:rPr>
          <w:rFonts w:ascii="Calibri" w:hAnsi="Calibri"/>
          <w:b/>
          <w:i w:val="0"/>
          <w:color w:val="1A2238"/>
          <w:sz w:val="20"/>
        </w:rPr>
        <w:t>Actividades: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Actividad 1 — Modelamiento analítico del dashboard para la toma de decisiones estratégicas: arquitectura de datos, directorio de las comisiones, fichas con visión, brechas, pilares, metas e indicadores; estados de validación.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Actividad 2 — Estructuración de fuentes de información oficiales y públicas (INEI, ministerios, OCDE, Banco Mundial, Defensoría, etc.) para el soporte cuantitativo de los trabajos de las comisiones, con trazabilidad de la fuente.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Actividad 3 — Simulación de indicadores clave para la evaluación de escenarios futuros (avance hacia metas 2050).</w:t>
      </w:r>
    </w:p>
    <w:p>
      <w:r>
        <w:rPr>
          <w:rFonts w:ascii="Calibri" w:hAnsi="Calibri"/>
          <w:b/>
          <w:i w:val="0"/>
          <w:color w:val="1A2238"/>
          <w:sz w:val="20"/>
        </w:rPr>
        <w:t>Productos: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Dashboard interactivo público desplegado (web), con directorio, fichas, mapas y buscador.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Repositorio de indicadores estructurados con su fuente y nivel de validación (validado / en revisión).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Simulador de metas con índice de avance e indicadores cuantitativos.</w:t>
      </w:r>
    </w:p>
    <w:p>
      <w:r>
        <w:rPr>
          <w:rFonts w:ascii="Calibri" w:hAnsi="Calibri"/>
          <w:b/>
          <w:i w:val="0"/>
          <w:color w:val="B8840E"/>
          <w:sz w:val="23"/>
        </w:rPr>
        <w:t>Hito 2 — Mes 2: Formulación estratégica por ejes y hoja de ruta de 100 días</w:t>
      </w:r>
    </w:p>
    <w:p>
      <w:r>
        <w:rPr>
          <w:rFonts w:ascii="Calibri" w:hAnsi="Calibri"/>
          <w:b/>
          <w:i w:val="0"/>
          <w:color w:val="1A2238"/>
          <w:sz w:val="20"/>
        </w:rPr>
        <w:t>Actividades: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Actividad 5 — Formulación estratégica del Plan Perú 2050 por ejes (institucional, social, ambiental y económico) a partir de la información de las comisiones: consolidación de visión, metas y acciones.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Actividad 6 — Hoja de ruta para los 100 primeros días por ejes, a partir de la información de las comisiones.</w:t>
      </w:r>
    </w:p>
    <w:p>
      <w:r>
        <w:rPr>
          <w:rFonts w:ascii="Calibri" w:hAnsi="Calibri"/>
          <w:b/>
          <w:i w:val="0"/>
          <w:color w:val="1A2238"/>
          <w:sz w:val="20"/>
        </w:rPr>
        <w:t>Productos: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Documento de síntesis por ejes (descargable en PDF/Word), con gráficos comparativos.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Documento de hoja de ruta de los 100 primeros días (descargable), consolidado y por comisión.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Módulo de descarga de documentos desde el dashboard.</w:t>
      </w:r>
    </w:p>
    <w:p>
      <w:r>
        <w:rPr>
          <w:rFonts w:ascii="Calibri" w:hAnsi="Calibri"/>
          <w:b/>
          <w:i w:val="0"/>
          <w:color w:val="B8840E"/>
          <w:sz w:val="23"/>
        </w:rPr>
        <w:t>Hito 3 — Mes 3: Articulación transversal y análisis sistémico (alineamiento)</w:t>
      </w:r>
    </w:p>
    <w:p>
      <w:r>
        <w:rPr>
          <w:rFonts w:ascii="Calibri" w:hAnsi="Calibri"/>
          <w:b/>
          <w:i w:val="0"/>
          <w:color w:val="1A2238"/>
          <w:sz w:val="20"/>
        </w:rPr>
        <w:t>Actividades: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Actividad 4 — Articulación transversal y análisis sistémico de las temáticas de las comisiones, alineándolas a las Políticas de Estado del Acuerdo Nacional, al PEDN al 2050 y a los Programas Presupuestales del MEF: matriz de articulación y clasificación semántica (igualdad/similitud, desagregación, agregación, causal con/sin evidencia, desarticulado) y tabulación de resultados.</w:t>
      </w:r>
    </w:p>
    <w:p>
      <w:r>
        <w:rPr>
          <w:rFonts w:ascii="Calibri" w:hAnsi="Calibri"/>
          <w:b/>
          <w:i w:val="0"/>
          <w:color w:val="1A2238"/>
          <w:sz w:val="20"/>
        </w:rPr>
        <w:t>Productos: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Matriz de articulación y alineamiento (navegable en el dashboard y exportable).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Reporte de coherencia con porcentajes por tipo de articulación.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Recomendaciones para resolver solapamientos o contradicciones entre comisiones.</w:t>
      </w:r>
    </w:p>
    <w:p>
      <w:r>
        <w:rPr>
          <w:rFonts w:ascii="Calibri" w:hAnsi="Calibri"/>
          <w:b/>
          <w:i w:val="0"/>
          <w:color w:val="D91023"/>
          <w:sz w:val="26"/>
        </w:rPr>
        <w:t>4. Honorarios y forma de pago</w:t>
      </w:r>
    </w:p>
    <w:p>
      <w:r>
        <w:rPr>
          <w:rFonts w:ascii="Calibri" w:hAnsi="Calibri"/>
          <w:b w:val="0"/>
          <w:i w:val="0"/>
          <w:color w:val="1A2238"/>
          <w:sz w:val="21"/>
        </w:rPr>
        <w:t>El servicio se retribuye en tres (3) armadas mensuales de S/ 2,000 cada una, por un total de S/ 6,000. Las actividades de articulación y alineamiento transversal (Actividad 4) se reconocen como un componente adicional de S/ 2,000, alcanzando un total de S/ 8,000.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Hito</w:t>
            </w:r>
          </w:p>
        </w:tc>
        <w:tc>
          <w:tcPr>
            <w:tcW w:type="dxa" w:w="321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Entregable principal</w:t>
            </w:r>
          </w:p>
        </w:tc>
        <w:tc>
          <w:tcPr>
            <w:tcW w:type="dxa" w:w="321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Honorario (S/)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Hito 1 (Mes 1)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Dashboard + fuentes + simulación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2,000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Hito 2 (Mes 2)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Síntesis por ejes + hoja de ruta 100 días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2,000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Hito 3 (Mes 3)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Modelamiento base del plan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2,000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Adicional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Articulación y alineamiento transversal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  <w:t>2,000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1A2238"/>
                <w:sz w:val="18"/>
              </w:rPr>
              <w:t>Total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1A2238"/>
                <w:sz w:val="18"/>
              </w:rPr>
              <w:t>8,000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5. Medios y entregables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Dashboard público (web) con actualización continua.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Documentos descargables en PDF y Word (fichas por comisión, síntesis por ejes, plan de 100 días).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Repositorio versionado del código y los datos.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0"/>
        </w:rPr>
        <w:t>Entrega dosificada por hito (control de versiones/visibilidad por etapa).</w:t>
      </w:r>
    </w:p>
    <w:p>
      <w:r>
        <w:rPr>
          <w:rFonts w:ascii="Calibri" w:hAnsi="Calibri"/>
          <w:b/>
          <w:i w:val="0"/>
          <w:color w:val="D91023"/>
          <w:sz w:val="26"/>
        </w:rPr>
        <w:t>6. Confidencialidad y propiedad</w:t>
      </w:r>
    </w:p>
    <w:p>
      <w:r>
        <w:rPr>
          <w:rFonts w:ascii="Calibri" w:hAnsi="Calibri"/>
          <w:b w:val="0"/>
          <w:i w:val="0"/>
          <w:color w:val="1A2238"/>
          <w:sz w:val="21"/>
        </w:rPr>
        <w:t>Los productos se elaboran a partir de la información provista por las comisiones y de fuentes públicas. Los datos personales de los integrantes de las comisiones no se difunden. La titularidad de los productos corresponde al CIP, sin perjuicio del crédito profesional del consultor.</w:t>
      </w:r>
    </w:p>
    <w:p>
      <w:r>
        <w:rPr>
          <w:rFonts w:ascii="Calibri" w:hAnsi="Calibri"/>
          <w:b w:val="0"/>
          <w:i/>
          <w:color w:val="5D6B88"/>
          <w:sz w:val="18"/>
        </w:rPr>
        <w:br/>
        <w:t>Nota: cifras y alcances sujetos a la información que remitan las comisiones; los indicadores sin documento de respaldo se presentan marcados como «en revisión» hasta su validación.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