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F8F4"/>
  <w:body>
    <w:p>
      <w:pPr>
        <w:spacing w:before="0" w:after="40" w:line="259" w:lineRule="auto"/>
      </w:pPr>
      <w:r>
        <w:rPr>
          <w:rFonts w:ascii="Calibri" w:hAnsi="Calibri" w:eastAsia="Calibri"/>
          <w:b/>
          <w:color w:val="8A7354"/>
          <w:sz w:val="18"/>
        </w:rPr>
        <w:t>FOR CANDIDATES</w:t>
      </w:r>
    </w:p>
    <w:p>
      <w:pPr>
        <w:spacing w:before="0" w:after="40" w:line="259" w:lineRule="auto"/>
      </w:pPr>
      <w:r>
        <w:rPr>
          <w:rFonts w:ascii="Calibri" w:hAnsi="Calibri" w:eastAsia="Calibri"/>
          <w:b/>
          <w:color w:val="1C2430"/>
          <w:sz w:val="56"/>
        </w:rPr>
        <w:t>Your benefits</w:t>
      </w:r>
    </w:p>
    <w:p>
      <w:pPr>
        <w:spacing w:before="120" w:after="200" w:line="276" w:lineRule="auto"/>
      </w:pPr>
      <w:r>
        <w:rPr>
          <w:rFonts w:ascii="Calibri" w:hAnsi="Calibri" w:eastAsia="Calibri"/>
          <w:b w:val="0"/>
          <w:color w:val="5C6570"/>
          <w:sz w:val="22"/>
        </w:rPr>
        <w:t>Prepared for candidates considering Janus Soft. This is the 2026–27 benefits program that sits with an offer: coverage, time away, retirement, pay, and the allowances beside salary. Every figure is the term in the company summary.</w:t>
      </w:r>
    </w:p>
    <w:tbl>
      <w:tblPr>
        <w:tblW w:type="auto" w:w="0"/>
        <w:tblLook w:firstColumn="1" w:firstRow="1" w:lastColumn="0" w:lastRow="0" w:noHBand="0" w:noVBand="1" w:val="04A0"/>
        <w:tblW w:w="10224" w:type="dxa"/>
        <w:tblLayout w:type="fixed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W w:w="2556" w:type="dxa"/>
            <w:shd w:fill="F4EFE6" w:val="clea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8A7354"/>
              <w:left w:val="single" w:sz="4" w:color="E4D9C8"/>
              <w:bottom w:val="single" w:sz="4" w:color="E4D9C8"/>
              <w:right w:val="single" w:sz="4" w:color="E4D9C8"/>
            </w:tcBorders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8A7354"/>
                <w:sz w:val="36"/>
              </w:rPr>
              <w:t>100%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5C6570"/>
                <w:sz w:val="16"/>
              </w:rPr>
              <w:t>Employee health premium</w:t>
            </w:r>
          </w:p>
        </w:tc>
        <w:tc>
          <w:tcPr>
            <w:tcW w:type="dxa" w:w="2556"/>
            <w:tcW w:w="2556" w:type="dxa"/>
            <w:shd w:fill="F4EFE6" w:val="clea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8A7354"/>
              <w:left w:val="single" w:sz="4" w:color="E4D9C8"/>
              <w:bottom w:val="single" w:sz="4" w:color="E4D9C8"/>
              <w:right w:val="single" w:sz="4" w:color="E4D9C8"/>
            </w:tcBorders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8A7354"/>
                <w:sz w:val="36"/>
              </w:rPr>
              <w:t>Unlimited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5C6570"/>
                <w:sz w:val="16"/>
              </w:rPr>
              <w:t>Paid time off</w:t>
            </w:r>
          </w:p>
        </w:tc>
        <w:tc>
          <w:tcPr>
            <w:tcW w:type="dxa" w:w="2556"/>
            <w:tcW w:w="2556" w:type="dxa"/>
            <w:shd w:fill="F4EFE6" w:val="clea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8A7354"/>
              <w:left w:val="single" w:sz="4" w:color="E4D9C8"/>
              <w:bottom w:val="single" w:sz="4" w:color="E4D9C8"/>
              <w:right w:val="single" w:sz="4" w:color="E4D9C8"/>
            </w:tcBorders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8A7354"/>
                <w:sz w:val="36"/>
              </w:rPr>
              <w:t>10%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5C6570"/>
                <w:sz w:val="16"/>
              </w:rPr>
              <w:t>401(k) match</w:t>
            </w:r>
          </w:p>
        </w:tc>
        <w:tc>
          <w:tcPr>
            <w:tcW w:type="dxa" w:w="2556"/>
            <w:tcW w:w="2556" w:type="dxa"/>
            <w:shd w:fill="F4EFE6" w:val="clea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8" w:space="0" w:color="8A7354"/>
              <w:left w:val="single" w:sz="4" w:color="E4D9C8"/>
              <w:bottom w:val="single" w:sz="4" w:color="E4D9C8"/>
              <w:right w:val="single" w:sz="4" w:color="E4D9C8"/>
            </w:tcBorders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Calibri"/>
                <w:b/>
                <w:color w:val="8A7354"/>
                <w:sz w:val="36"/>
              </w:rPr>
              <w:t>$10,000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5C6570"/>
                <w:sz w:val="16"/>
              </w:rPr>
              <w:t>Referral bonus</w:t>
            </w:r>
          </w:p>
        </w:tc>
      </w:tr>
    </w:tbl>
    <w:p>
      <w:pPr>
        <w:spacing w:before="160" w:after="80" w:line="259" w:lineRule="auto"/>
      </w:pPr>
      <w:r>
        <w:rPr>
          <w:rFonts w:ascii="Calibri" w:hAnsi="Calibri" w:eastAsia="Calibri"/>
          <w:b w:val="0"/>
          <w:color w:val="5C6570"/>
          <w:sz w:val="18"/>
        </w:rPr>
        <w:t>The section that follows states the term. This guide does not add coverage beyond the summary.</w:t>
      </w:r>
    </w:p>
    <w:p>
      <w:pPr>
        <w:spacing w:before="40" w:after="0" w:line="259" w:lineRule="auto"/>
      </w:pPr>
    </w:p>
    <w:tbl>
      <w:tblPr>
        <w:tblW w:type="auto" w:w="0"/>
        <w:tblLook w:firstColumn="1" w:firstRow="1" w:lastColumn="0" w:lastRow="0" w:noHBand="0" w:noVBand="1" w:val="04A0"/>
        <w:tblW w:w="10224" w:type="dxa"/>
        <w:tblLayout w:type="fixed"/>
      </w:tblPr>
      <w:tblGrid>
        <w:gridCol w:w="5112"/>
        <w:gridCol w:w="5112"/>
      </w:tblGrid>
      <w:tr>
        <w:tc>
          <w:tcPr>
            <w:tcW w:type="dxa" w:w="5112"/>
            <w:tcW w:w="1655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lth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W w:w="8567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8A7354"/>
                <w:sz w:val="18"/>
              </w:rPr>
              <w:t>01  ·  Care</w:t>
            </w:r>
          </w:p>
          <w:p>
            <w:pPr>
              <w:keepNext/>
              <w:spacing w:before="20" w:after="40" w:line="259" w:lineRule="auto"/>
            </w:pPr>
            <w:r>
              <w:rPr>
                <w:rFonts w:ascii="Calibri" w:hAnsi="Calibri" w:eastAsia="Calibri"/>
                <w:b/>
                <w:color w:val="1C2430"/>
                <w:sz w:val="36"/>
              </w:rPr>
              <w:t>Medical, dental, and vision</w:t>
            </w:r>
          </w:p>
          <w:p>
            <w:pPr>
              <w:spacing w:before="20" w:after="80" w:line="259" w:lineRule="auto"/>
            </w:pPr>
            <w:r>
              <w:rPr>
                <w:rFonts w:ascii="Calibri" w:hAnsi="Calibri" w:eastAsia="Calibri"/>
                <w:b w:val="0"/>
                <w:color w:val="5C6570"/>
                <w:sz w:val="22"/>
              </w:rPr>
              <w:t>The company pays the full premium for the employee and shares the cost for family members.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eastAsia="Calibri"/>
                <w:b w:val="0"/>
                <w:color w:val="8A7354"/>
                <w:sz w:val="22"/>
              </w:rPr>
              <w:t xml:space="preserve">–  </w:t>
            </w:r>
            <w:r>
              <w:rPr>
                <w:rFonts w:ascii="Calibri" w:hAnsi="Calibri" w:eastAsia="Calibri"/>
                <w:b w:val="0"/>
                <w:color w:val="1C2430"/>
                <w:sz w:val="22"/>
              </w:rPr>
              <w:t>Janus Soft pays 100% of the premium for the employee, and a generous contribution for other family members, for health, dental, and vision insurance.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eastAsia="Calibri"/>
                <w:b w:val="0"/>
                <w:color w:val="8A7354"/>
                <w:sz w:val="22"/>
              </w:rPr>
              <w:t xml:space="preserve">–  </w:t>
            </w:r>
            <w:r>
              <w:rPr>
                <w:rFonts w:ascii="Calibri" w:hAnsi="Calibri" w:eastAsia="Calibri"/>
                <w:b w:val="0"/>
                <w:color w:val="1C2430"/>
                <w:sz w:val="22"/>
              </w:rPr>
              <w:t>Coverage is effective the first of the next month from the date of hire.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10224" w:type="dxa"/>
        <w:tblLayout w:type="fixed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tcW w:w="2088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8" w:space="0" w:color="8A7354"/>
              <w:right w:val="nil"/>
            </w:tcBorders>
          </w:tcPr>
          <w:p>
            <w:pPr>
              <w:keepNext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C2430"/>
                <w:sz w:val="16"/>
              </w:rPr>
              <w:t>Coverage</w:t>
            </w:r>
          </w:p>
        </w:tc>
        <w:tc>
          <w:tcPr>
            <w:tcW w:type="dxa" w:w="2556"/>
            <w:tcW w:w="2232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8" w:space="0" w:color="8A7354"/>
              <w:right w:val="nil"/>
            </w:tcBorders>
          </w:tcPr>
          <w:p>
            <w:pPr>
              <w:keepNext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C2430"/>
                <w:sz w:val="16"/>
              </w:rPr>
              <w:t>Employee contribution</w:t>
            </w:r>
          </w:p>
        </w:tc>
        <w:tc>
          <w:tcPr>
            <w:tcW w:type="dxa" w:w="2556"/>
            <w:tcW w:w="2232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8" w:space="0" w:color="8A7354"/>
              <w:right w:val="nil"/>
            </w:tcBorders>
          </w:tcPr>
          <w:p>
            <w:pPr>
              <w:keepNext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C2430"/>
                <w:sz w:val="16"/>
              </w:rPr>
              <w:t>Employer contribution</w:t>
            </w:r>
          </w:p>
        </w:tc>
        <w:tc>
          <w:tcPr>
            <w:tcW w:type="dxa" w:w="2556"/>
            <w:tcW w:w="3671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8" w:space="0" w:color="8A7354"/>
              <w:right w:val="nil"/>
            </w:tcBorders>
          </w:tcPr>
          <w:p>
            <w:pPr>
              <w:keepNext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C2430"/>
                <w:sz w:val="16"/>
              </w:rPr>
              <w:t>Effective date</w:t>
            </w:r>
          </w:p>
        </w:tc>
      </w:tr>
      <w:tr>
        <w:trPr>
          <w:cantSplit/>
        </w:trPr>
        <w:tc>
          <w:tcPr>
            <w:tcW w:type="dxa" w:w="2556"/>
            <w:tcW w:w="2088" w:type="dxa"/>
            <w:shd w:fill="FFFFFF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C2430"/>
                <w:sz w:val="20"/>
              </w:rPr>
              <w:t>Employee only</w:t>
            </w:r>
          </w:p>
        </w:tc>
        <w:tc>
          <w:tcPr>
            <w:tcW w:type="dxa" w:w="2556"/>
            <w:tcW w:w="2232" w:type="dxa"/>
            <w:shd w:fill="FFFFFF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C2430"/>
                <w:sz w:val="20"/>
              </w:rPr>
              <w:t>0%</w:t>
            </w:r>
          </w:p>
        </w:tc>
        <w:tc>
          <w:tcPr>
            <w:tcW w:type="dxa" w:w="2556"/>
            <w:tcW w:w="2232" w:type="dxa"/>
            <w:shd w:fill="FFFFFF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C2430"/>
                <w:sz w:val="20"/>
              </w:rPr>
              <w:t>100%</w:t>
            </w:r>
          </w:p>
        </w:tc>
        <w:tc>
          <w:tcPr>
            <w:tcW w:type="dxa" w:w="2556"/>
            <w:tcW w:w="3671" w:type="dxa"/>
            <w:shd w:fill="FFFFFF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C2430"/>
                <w:sz w:val="20"/>
              </w:rPr>
              <w:t>1st of the month after the date of hire</w:t>
            </w:r>
          </w:p>
        </w:tc>
      </w:tr>
      <w:tr>
        <w:trPr>
          <w:cantSplit/>
        </w:trPr>
        <w:tc>
          <w:tcPr>
            <w:tcW w:type="dxa" w:w="2556"/>
            <w:tcW w:w="2088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C2430"/>
                <w:sz w:val="20"/>
              </w:rPr>
              <w:t>Spouse and children</w:t>
            </w:r>
          </w:p>
        </w:tc>
        <w:tc>
          <w:tcPr>
            <w:tcW w:type="dxa" w:w="2556"/>
            <w:tcW w:w="2232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C2430"/>
                <w:sz w:val="20"/>
              </w:rPr>
              <w:t>50%</w:t>
            </w:r>
          </w:p>
        </w:tc>
        <w:tc>
          <w:tcPr>
            <w:tcW w:type="dxa" w:w="2556"/>
            <w:tcW w:w="2232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C2430"/>
                <w:sz w:val="20"/>
              </w:rPr>
              <w:t>50%</w:t>
            </w:r>
          </w:p>
        </w:tc>
        <w:tc>
          <w:tcPr>
            <w:tcW w:type="dxa" w:w="2556"/>
            <w:tcW w:w="3671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C2430"/>
                <w:sz w:val="20"/>
              </w:rPr>
              <w:t>1st of the month after the date of hire</w:t>
            </w:r>
          </w:p>
        </w:tc>
      </w:tr>
    </w:tbl>
    <w:p>
      <w:pPr>
        <w:spacing w:before="40" w:after="0" w:line="259" w:lineRule="auto"/>
      </w:pPr>
    </w:p>
    <w:tbl>
      <w:tblPr>
        <w:tblW w:type="auto" w:w="0"/>
        <w:tblLook w:firstColumn="1" w:firstRow="1" w:lastColumn="0" w:lastRow="0" w:noHBand="0" w:noVBand="1" w:val="04A0"/>
        <w:tblW w:w="10224" w:type="dxa"/>
        <w:tblLayout w:type="fixed"/>
      </w:tblPr>
      <w:tblGrid>
        <w:gridCol w:w="5112"/>
        <w:gridCol w:w="5112"/>
      </w:tblGrid>
      <w:tr>
        <w:tc>
          <w:tcPr>
            <w:tcW w:type="dxa" w:w="5112"/>
            <w:tcW w:w="1655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me-off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W w:w="8567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8A7354"/>
                <w:sz w:val="18"/>
              </w:rPr>
              <w:t>02  ·  Time</w:t>
            </w:r>
          </w:p>
          <w:p>
            <w:pPr>
              <w:keepNext/>
              <w:spacing w:before="20" w:after="40" w:line="259" w:lineRule="auto"/>
            </w:pPr>
            <w:r>
              <w:rPr>
                <w:rFonts w:ascii="Calibri" w:hAnsi="Calibri" w:eastAsia="Calibri"/>
                <w:b/>
                <w:color w:val="1C2430"/>
                <w:sz w:val="36"/>
              </w:rPr>
              <w:t>Paid time off</w:t>
            </w:r>
          </w:p>
          <w:p>
            <w:pPr>
              <w:spacing w:before="20" w:after="80" w:line="259" w:lineRule="auto"/>
            </w:pPr>
            <w:r>
              <w:rPr>
                <w:rFonts w:ascii="Calibri" w:hAnsi="Calibri" w:eastAsia="Calibri"/>
                <w:b w:val="0"/>
                <w:color w:val="5C6570"/>
                <w:sz w:val="22"/>
              </w:rPr>
              <w:t>Time away is part of the offer, not a balance you have to earn week by week.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eastAsia="Calibri"/>
                <w:b w:val="0"/>
                <w:color w:val="8A7354"/>
                <w:sz w:val="22"/>
              </w:rPr>
              <w:t xml:space="preserve">–  </w:t>
            </w:r>
            <w:r>
              <w:rPr>
                <w:rFonts w:ascii="Calibri" w:hAnsi="Calibri" w:eastAsia="Calibri"/>
                <w:b w:val="0"/>
                <w:color w:val="1C2430"/>
                <w:sz w:val="22"/>
              </w:rPr>
              <w:t>Unlimited paid time off, subject to meeting the minimum work-hours requirement.</w:t>
            </w:r>
          </w:p>
        </w:tc>
      </w:tr>
    </w:tbl>
    <w:p>
      <w:pPr>
        <w:spacing w:before="40" w:after="0" w:line="259" w:lineRule="auto"/>
      </w:pPr>
    </w:p>
    <w:tbl>
      <w:tblPr>
        <w:tblW w:type="auto" w:w="0"/>
        <w:tblLook w:firstColumn="1" w:firstRow="1" w:lastColumn="0" w:lastRow="0" w:noHBand="0" w:noVBand="1" w:val="04A0"/>
        <w:tblW w:w="10224" w:type="dxa"/>
        <w:tblLayout w:type="fixed"/>
      </w:tblPr>
      <w:tblGrid>
        <w:gridCol w:w="5112"/>
        <w:gridCol w:w="5112"/>
      </w:tblGrid>
      <w:tr>
        <w:tc>
          <w:tcPr>
            <w:tcW w:type="dxa" w:w="5112"/>
            <w:tcW w:w="1655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irement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W w:w="8567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8A7354"/>
                <w:sz w:val="18"/>
              </w:rPr>
              <w:t>03  ·  Future</w:t>
            </w:r>
          </w:p>
          <w:p>
            <w:pPr>
              <w:keepNext/>
              <w:spacing w:before="20" w:after="40" w:line="259" w:lineRule="auto"/>
            </w:pPr>
            <w:r>
              <w:rPr>
                <w:rFonts w:ascii="Calibri" w:hAnsi="Calibri" w:eastAsia="Calibri"/>
                <w:b/>
                <w:color w:val="1C2430"/>
                <w:sz w:val="36"/>
              </w:rPr>
              <w:t>Retirement</w:t>
            </w:r>
          </w:p>
          <w:p>
            <w:pPr>
              <w:spacing w:before="20" w:after="80" w:line="259" w:lineRule="auto"/>
            </w:pPr>
            <w:r>
              <w:rPr>
                <w:rFonts w:ascii="Calibri" w:hAnsi="Calibri" w:eastAsia="Calibri"/>
                <w:b w:val="0"/>
                <w:color w:val="5C6570"/>
                <w:sz w:val="22"/>
              </w:rPr>
              <w:t>The 401(k) is a safe-harbor plan, and the match follows the employee’s own contribution.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eastAsia="Calibri"/>
                <w:b w:val="0"/>
                <w:color w:val="8A7354"/>
                <w:sz w:val="22"/>
              </w:rPr>
              <w:t xml:space="preserve">–  </w:t>
            </w:r>
            <w:r>
              <w:rPr>
                <w:rFonts w:ascii="Calibri" w:hAnsi="Calibri" w:eastAsia="Calibri"/>
                <w:b w:val="0"/>
                <w:color w:val="1C2430"/>
                <w:sz w:val="22"/>
              </w:rPr>
              <w:t>Janus Soft offers a 401(k) plan through safe harbor.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eastAsia="Calibri"/>
                <w:b w:val="0"/>
                <w:color w:val="8A7354"/>
                <w:sz w:val="22"/>
              </w:rPr>
              <w:t xml:space="preserve">–  </w:t>
            </w:r>
            <w:r>
              <w:rPr>
                <w:rFonts w:ascii="Calibri" w:hAnsi="Calibri" w:eastAsia="Calibri"/>
                <w:b w:val="0"/>
                <w:color w:val="1C2430"/>
                <w:sz w:val="22"/>
              </w:rPr>
              <w:t>The company matches 10% of the employee contribution.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eastAsia="Calibri"/>
                <w:b w:val="0"/>
                <w:color w:val="8A7354"/>
                <w:sz w:val="22"/>
              </w:rPr>
              <w:t xml:space="preserve">–  </w:t>
            </w:r>
            <w:r>
              <w:rPr>
                <w:rFonts w:ascii="Calibri" w:hAnsi="Calibri" w:eastAsia="Calibri"/>
                <w:b w:val="0"/>
                <w:color w:val="1C2430"/>
                <w:sz w:val="22"/>
              </w:rPr>
              <w:t>The company pays dollar for dollar up to 10% of the employee contribution.</w:t>
            </w:r>
          </w:p>
        </w:tc>
      </w:tr>
    </w:tbl>
    <w:p>
      <w:pPr>
        <w:spacing w:before="40" w:after="0" w:line="259" w:lineRule="auto"/>
      </w:pPr>
    </w:p>
    <w:tbl>
      <w:tblPr>
        <w:tblW w:type="auto" w:w="0"/>
        <w:tblLook w:firstColumn="1" w:firstRow="1" w:lastColumn="0" w:lastRow="0" w:noHBand="0" w:noVBand="1" w:val="04A0"/>
        <w:tblW w:w="10224" w:type="dxa"/>
        <w:tblLayout w:type="fixed"/>
      </w:tblPr>
      <w:tblGrid>
        <w:gridCol w:w="5112"/>
        <w:gridCol w:w="5112"/>
      </w:tblGrid>
      <w:tr>
        <w:tc>
          <w:tcPr>
            <w:tcW w:type="dxa" w:w="5112"/>
            <w:tcW w:w="1655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ensation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W w:w="8567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8A7354"/>
                <w:sz w:val="18"/>
              </w:rPr>
              <w:t>04  ·  Pay</w:t>
            </w:r>
          </w:p>
          <w:p>
            <w:pPr>
              <w:keepNext/>
              <w:spacing w:before="20" w:after="40" w:line="259" w:lineRule="auto"/>
            </w:pPr>
            <w:r>
              <w:rPr>
                <w:rFonts w:ascii="Calibri" w:hAnsi="Calibri" w:eastAsia="Calibri"/>
                <w:b/>
                <w:color w:val="1C2430"/>
                <w:sz w:val="36"/>
              </w:rPr>
              <w:t>Compensation</w:t>
            </w:r>
          </w:p>
          <w:p>
            <w:pPr>
              <w:spacing w:before="20" w:after="80" w:line="259" w:lineRule="auto"/>
            </w:pPr>
            <w:r>
              <w:rPr>
                <w:rFonts w:ascii="Calibri" w:hAnsi="Calibri" w:eastAsia="Calibri"/>
                <w:b w:val="0"/>
                <w:color w:val="5C6570"/>
                <w:sz w:val="22"/>
              </w:rPr>
              <w:t>Pay is meant to compete, and extra recognition does not wait for a review cycle.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eastAsia="Calibri"/>
                <w:b w:val="0"/>
                <w:color w:val="8A7354"/>
                <w:sz w:val="22"/>
              </w:rPr>
              <w:t xml:space="preserve">–  </w:t>
            </w:r>
            <w:r>
              <w:rPr>
                <w:rFonts w:ascii="Calibri" w:hAnsi="Calibri" w:eastAsia="Calibri"/>
                <w:b w:val="0"/>
                <w:color w:val="1C2430"/>
                <w:sz w:val="22"/>
              </w:rPr>
              <w:t>Highly competitive salary. Janus Soft Inc. pays its employees top dollars and pays one of the best salaries.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eastAsia="Calibri"/>
                <w:b w:val="0"/>
                <w:color w:val="8A7354"/>
                <w:sz w:val="22"/>
              </w:rPr>
              <w:t xml:space="preserve">–  </w:t>
            </w:r>
            <w:r>
              <w:rPr>
                <w:rFonts w:ascii="Calibri" w:hAnsi="Calibri" w:eastAsia="Calibri"/>
                <w:b w:val="0"/>
                <w:color w:val="1C2430"/>
                <w:sz w:val="22"/>
              </w:rPr>
              <w:t>Annual and spot bonus. Spot bonuses are based on feedback from the employee’s supervisor.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eastAsia="Calibri"/>
                <w:b w:val="0"/>
                <w:color w:val="8A7354"/>
                <w:sz w:val="22"/>
              </w:rPr>
              <w:t xml:space="preserve">–  </w:t>
            </w:r>
            <w:r>
              <w:rPr>
                <w:rFonts w:ascii="Calibri" w:hAnsi="Calibri" w:eastAsia="Calibri"/>
                <w:b w:val="0"/>
                <w:color w:val="1C2430"/>
                <w:sz w:val="22"/>
              </w:rPr>
              <w:t>Employee referral bonus.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eastAsia="Calibri"/>
                <w:b w:val="0"/>
                <w:color w:val="8A7354"/>
                <w:sz w:val="22"/>
              </w:rPr>
              <w:t xml:space="preserve">–  </w:t>
            </w:r>
            <w:r>
              <w:rPr>
                <w:rFonts w:ascii="Calibri" w:hAnsi="Calibri" w:eastAsia="Calibri"/>
                <w:b w:val="0"/>
                <w:color w:val="1C2430"/>
                <w:sz w:val="22"/>
              </w:rPr>
              <w:t>Employee performance incentives.</w:t>
            </w:r>
          </w:p>
        </w:tc>
      </w:tr>
    </w:tbl>
    <w:p>
      <w:pPr>
        <w:spacing w:before="40" w:after="0" w:line="259" w:lineRule="auto"/>
      </w:pPr>
    </w:p>
    <w:tbl>
      <w:tblPr>
        <w:tblW w:type="auto" w:w="0"/>
        <w:tblLook w:firstColumn="1" w:firstRow="1" w:lastColumn="0" w:lastRow="0" w:noHBand="0" w:noVBand="1" w:val="04A0"/>
        <w:tblW w:w="10224" w:type="dxa"/>
        <w:tblLayout w:type="fixed"/>
      </w:tblPr>
      <w:tblGrid>
        <w:gridCol w:w="5112"/>
        <w:gridCol w:w="5112"/>
      </w:tblGrid>
      <w:tr>
        <w:tc>
          <w:tcPr>
            <w:tcW w:type="dxa" w:w="5112"/>
            <w:tcW w:w="1655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erral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W w:w="8567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8A7354"/>
                <w:sz w:val="18"/>
              </w:rPr>
              <w:t>05  ·  People</w:t>
            </w:r>
          </w:p>
          <w:p>
            <w:pPr>
              <w:keepNext/>
              <w:spacing w:before="20" w:after="40" w:line="259" w:lineRule="auto"/>
            </w:pPr>
            <w:r>
              <w:rPr>
                <w:rFonts w:ascii="Calibri" w:hAnsi="Calibri" w:eastAsia="Calibri"/>
                <w:b/>
                <w:color w:val="1C2430"/>
                <w:sz w:val="36"/>
              </w:rPr>
              <w:t>Employee referral</w:t>
            </w:r>
          </w:p>
          <w:p>
            <w:pPr>
              <w:spacing w:before="20" w:after="80" w:line="259" w:lineRule="auto"/>
            </w:pPr>
            <w:r>
              <w:rPr>
                <w:rFonts w:ascii="Calibri" w:hAnsi="Calibri" w:eastAsia="Calibri"/>
                <w:b w:val="0"/>
                <w:color w:val="5C6570"/>
                <w:sz w:val="22"/>
              </w:rPr>
              <w:t>Introducing someone who is hired is paid as a real bonus, not a token.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eastAsia="Calibri"/>
                <w:b w:val="0"/>
                <w:color w:val="8A7354"/>
                <w:sz w:val="22"/>
              </w:rPr>
              <w:t xml:space="preserve">–  </w:t>
            </w:r>
            <w:r>
              <w:rPr>
                <w:rFonts w:ascii="Calibri" w:hAnsi="Calibri" w:eastAsia="Calibri"/>
                <w:b w:val="0"/>
                <w:color w:val="1C2430"/>
                <w:sz w:val="22"/>
              </w:rPr>
              <w:t>Janus Soft pays a referral bonus of up to $10,000.00, spread over three months, for each successfully hired employee, for the life of that employment.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W w:w="10224" w:type="dxa"/>
        <w:tblLayout w:type="fixed"/>
      </w:tblPr>
      <w:tblGrid>
        <w:gridCol w:w="5112"/>
        <w:gridCol w:w="5112"/>
      </w:tblGrid>
      <w:tr>
        <w:tc>
          <w:tcPr>
            <w:tcW w:type="dxa" w:w="5112"/>
            <w:tcW w:w="1655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ectio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W w:w="8567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8A7354"/>
                <w:sz w:val="18"/>
              </w:rPr>
              <w:t>06  ·  Protection</w:t>
            </w:r>
          </w:p>
          <w:p>
            <w:pPr>
              <w:keepNext/>
              <w:spacing w:before="20" w:after="40" w:line="259" w:lineRule="auto"/>
            </w:pPr>
            <w:r>
              <w:rPr>
                <w:rFonts w:ascii="Calibri" w:hAnsi="Calibri" w:eastAsia="Calibri"/>
                <w:b/>
                <w:color w:val="1C2430"/>
                <w:sz w:val="36"/>
              </w:rPr>
              <w:t>Disability and life insurance</w:t>
            </w:r>
          </w:p>
          <w:p>
            <w:pPr>
              <w:spacing w:before="20" w:after="80" w:line="259" w:lineRule="auto"/>
            </w:pPr>
            <w:r>
              <w:rPr>
                <w:rFonts w:ascii="Calibri" w:hAnsi="Calibri" w:eastAsia="Calibri"/>
                <w:b w:val="0"/>
                <w:color w:val="5C6570"/>
                <w:sz w:val="22"/>
              </w:rPr>
              <w:t>Income protection and life insurance are company-paid on the schedule below.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eastAsia="Calibri"/>
                <w:b w:val="0"/>
                <w:color w:val="8A7354"/>
                <w:sz w:val="22"/>
              </w:rPr>
              <w:t xml:space="preserve">–  </w:t>
            </w:r>
            <w:r>
              <w:rPr>
                <w:rFonts w:ascii="Calibri" w:hAnsi="Calibri" w:eastAsia="Calibri"/>
                <w:b w:val="0"/>
                <w:color w:val="1C2430"/>
                <w:sz w:val="22"/>
              </w:rPr>
              <w:t>Janus Soft offers short-term disability, long-term disability, and life insurance.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eastAsia="Calibri"/>
                <w:b w:val="0"/>
                <w:color w:val="8A7354"/>
                <w:sz w:val="22"/>
              </w:rPr>
              <w:t xml:space="preserve">–  </w:t>
            </w:r>
            <w:r>
              <w:rPr>
                <w:rFonts w:ascii="Calibri" w:hAnsi="Calibri" w:eastAsia="Calibri"/>
                <w:b w:val="0"/>
                <w:color w:val="1C2430"/>
                <w:sz w:val="22"/>
              </w:rPr>
              <w:t>The contribution schedule on file lists life insurance and short-term disability. Both are paid in full by the company.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10224" w:type="dxa"/>
        <w:tblLayout w:type="fixed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tcW w:w="2088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8" w:space="0" w:color="8A7354"/>
              <w:right w:val="nil"/>
            </w:tcBorders>
          </w:tcPr>
          <w:p>
            <w:pPr>
              <w:keepNext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C2430"/>
                <w:sz w:val="16"/>
              </w:rPr>
              <w:t>Coverage</w:t>
            </w:r>
          </w:p>
        </w:tc>
        <w:tc>
          <w:tcPr>
            <w:tcW w:type="dxa" w:w="2556"/>
            <w:tcW w:w="2232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8" w:space="0" w:color="8A7354"/>
              <w:right w:val="nil"/>
            </w:tcBorders>
          </w:tcPr>
          <w:p>
            <w:pPr>
              <w:keepNext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C2430"/>
                <w:sz w:val="16"/>
              </w:rPr>
              <w:t>Employee contribution</w:t>
            </w:r>
          </w:p>
        </w:tc>
        <w:tc>
          <w:tcPr>
            <w:tcW w:type="dxa" w:w="2556"/>
            <w:tcW w:w="2232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8" w:space="0" w:color="8A7354"/>
              <w:right w:val="nil"/>
            </w:tcBorders>
          </w:tcPr>
          <w:p>
            <w:pPr>
              <w:keepNext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C2430"/>
                <w:sz w:val="16"/>
              </w:rPr>
              <w:t>Employer contribution</w:t>
            </w:r>
          </w:p>
        </w:tc>
        <w:tc>
          <w:tcPr>
            <w:tcW w:type="dxa" w:w="2556"/>
            <w:tcW w:w="3671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8" w:space="0" w:color="8A7354"/>
              <w:right w:val="nil"/>
            </w:tcBorders>
          </w:tcPr>
          <w:p>
            <w:pPr>
              <w:keepNext/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C2430"/>
                <w:sz w:val="16"/>
              </w:rPr>
              <w:t>Effective date</w:t>
            </w:r>
          </w:p>
        </w:tc>
      </w:tr>
      <w:tr>
        <w:trPr>
          <w:cantSplit/>
        </w:trPr>
        <w:tc>
          <w:tcPr>
            <w:tcW w:type="dxa" w:w="2556"/>
            <w:tcW w:w="2088" w:type="dxa"/>
            <w:shd w:fill="FFFFFF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C2430"/>
                <w:sz w:val="20"/>
              </w:rPr>
              <w:t>Life insurance</w:t>
            </w:r>
          </w:p>
        </w:tc>
        <w:tc>
          <w:tcPr>
            <w:tcW w:type="dxa" w:w="2556"/>
            <w:tcW w:w="2232" w:type="dxa"/>
            <w:shd w:fill="FFFFFF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C2430"/>
                <w:sz w:val="20"/>
              </w:rPr>
              <w:t>0%</w:t>
            </w:r>
          </w:p>
        </w:tc>
        <w:tc>
          <w:tcPr>
            <w:tcW w:type="dxa" w:w="2556"/>
            <w:tcW w:w="2232" w:type="dxa"/>
            <w:shd w:fill="FFFFFF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C2430"/>
                <w:sz w:val="20"/>
              </w:rPr>
              <w:t>100%</w:t>
            </w:r>
          </w:p>
        </w:tc>
        <w:tc>
          <w:tcPr>
            <w:tcW w:type="dxa" w:w="2556"/>
            <w:tcW w:w="3671" w:type="dxa"/>
            <w:shd w:fill="FFFFFF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C2430"/>
                <w:sz w:val="20"/>
              </w:rPr>
              <w:t>1st of the month, 60 days after the date of hire</w:t>
            </w:r>
          </w:p>
        </w:tc>
      </w:tr>
      <w:tr>
        <w:trPr>
          <w:cantSplit/>
        </w:trPr>
        <w:tc>
          <w:tcPr>
            <w:tcW w:type="dxa" w:w="2556"/>
            <w:tcW w:w="2088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1C2430"/>
                <w:sz w:val="20"/>
              </w:rPr>
              <w:t>Short-term disability</w:t>
            </w:r>
          </w:p>
        </w:tc>
        <w:tc>
          <w:tcPr>
            <w:tcW w:type="dxa" w:w="2556"/>
            <w:tcW w:w="2232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C2430"/>
                <w:sz w:val="20"/>
              </w:rPr>
              <w:t>0%</w:t>
            </w:r>
          </w:p>
        </w:tc>
        <w:tc>
          <w:tcPr>
            <w:tcW w:type="dxa" w:w="2556"/>
            <w:tcW w:w="2232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C2430"/>
                <w:sz w:val="20"/>
              </w:rPr>
              <w:t>100%</w:t>
            </w:r>
          </w:p>
        </w:tc>
        <w:tc>
          <w:tcPr>
            <w:tcW w:type="dxa" w:w="2556"/>
            <w:tcW w:w="3671" w:type="dxa"/>
            <w:shd w:fill="F4EFE6" w:val="clea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/>
              <w:left w:val="nil"/>
              <w:bottom w:val="single" w:sz="4" w:space="0" w:color="E4D9C8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C2430"/>
                <w:sz w:val="20"/>
              </w:rPr>
              <w:t>1st of the month, 60 days after the date of hire</w:t>
            </w:r>
          </w:p>
        </w:tc>
      </w:tr>
    </w:tbl>
    <w:p>
      <w:pPr>
        <w:spacing w:before="40" w:after="0" w:line="259" w:lineRule="auto"/>
      </w:pPr>
    </w:p>
    <w:tbl>
      <w:tblPr>
        <w:tblW w:type="auto" w:w="0"/>
        <w:tblLook w:firstColumn="1" w:firstRow="1" w:lastColumn="0" w:lastRow="0" w:noHBand="0" w:noVBand="1" w:val="04A0"/>
        <w:tblW w:w="10224" w:type="dxa"/>
        <w:tblLayout w:type="fixed"/>
      </w:tblPr>
      <w:tblGrid>
        <w:gridCol w:w="5112"/>
        <w:gridCol w:w="5112"/>
      </w:tblGrid>
      <w:tr>
        <w:tc>
          <w:tcPr>
            <w:tcW w:type="dxa" w:w="5112"/>
            <w:tcW w:w="1655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rning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W w:w="8567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8A7354"/>
                <w:sz w:val="18"/>
              </w:rPr>
              <w:t>07  ·  Growth</w:t>
            </w:r>
          </w:p>
          <w:p>
            <w:pPr>
              <w:keepNext/>
              <w:spacing w:before="20" w:after="40" w:line="259" w:lineRule="auto"/>
            </w:pPr>
            <w:r>
              <w:rPr>
                <w:rFonts w:ascii="Calibri" w:hAnsi="Calibri" w:eastAsia="Calibri"/>
                <w:b/>
                <w:color w:val="1C2430"/>
                <w:sz w:val="36"/>
              </w:rPr>
              <w:t>Training and tuition</w:t>
            </w:r>
          </w:p>
          <w:p>
            <w:pPr>
              <w:spacing w:before="20" w:after="80" w:line="259" w:lineRule="auto"/>
            </w:pPr>
            <w:r>
              <w:rPr>
                <w:rFonts w:ascii="Calibri" w:hAnsi="Calibri" w:eastAsia="Calibri"/>
                <w:b w:val="0"/>
                <w:color w:val="5C6570"/>
                <w:sz w:val="22"/>
              </w:rPr>
              <w:t>Skill-building and tuition have a set yearly allowance.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eastAsia="Calibri"/>
                <w:b w:val="0"/>
                <w:color w:val="8A7354"/>
                <w:sz w:val="22"/>
              </w:rPr>
              <w:t xml:space="preserve">–  </w:t>
            </w:r>
            <w:r>
              <w:rPr>
                <w:rFonts w:ascii="Calibri" w:hAnsi="Calibri" w:eastAsia="Calibri"/>
                <w:b w:val="0"/>
                <w:color w:val="1C2430"/>
                <w:sz w:val="22"/>
              </w:rPr>
              <w:t>Janus Soft reimburses up to $3,000.00 per year toward skills and tuition.</w:t>
            </w:r>
          </w:p>
        </w:tc>
      </w:tr>
    </w:tbl>
    <w:p>
      <w:pPr>
        <w:spacing w:before="40" w:after="0" w:line="259" w:lineRule="auto"/>
      </w:pPr>
    </w:p>
    <w:tbl>
      <w:tblPr>
        <w:tblW w:type="auto" w:w="0"/>
        <w:tblLook w:firstColumn="1" w:firstRow="1" w:lastColumn="0" w:lastRow="0" w:noHBand="0" w:noVBand="1" w:val="04A0"/>
        <w:tblW w:w="10224" w:type="dxa"/>
        <w:tblLayout w:type="fixed"/>
      </w:tblPr>
      <w:tblGrid>
        <w:gridCol w:w="5112"/>
        <w:gridCol w:w="5112"/>
      </w:tblGrid>
      <w:tr>
        <w:tc>
          <w:tcPr>
            <w:tcW w:type="dxa" w:w="5112"/>
            <w:tcW w:w="1655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chnology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W w:w="8567" w:type="dxa"/>
            <w:shd w:fill="FBF8F4" w:val="clear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8A7354"/>
                <w:sz w:val="18"/>
              </w:rPr>
              <w:t>08  ·  Tools</w:t>
            </w:r>
          </w:p>
          <w:p>
            <w:pPr>
              <w:keepNext/>
              <w:spacing w:before="20" w:after="40" w:line="259" w:lineRule="auto"/>
            </w:pPr>
            <w:r>
              <w:rPr>
                <w:rFonts w:ascii="Calibri" w:hAnsi="Calibri" w:eastAsia="Calibri"/>
                <w:b/>
                <w:color w:val="1C2430"/>
                <w:sz w:val="36"/>
              </w:rPr>
              <w:t>Health and technology</w:t>
            </w:r>
          </w:p>
          <w:p>
            <w:pPr>
              <w:spacing w:before="20" w:after="80" w:line="259" w:lineRule="auto"/>
            </w:pPr>
            <w:r>
              <w:rPr>
                <w:rFonts w:ascii="Calibri" w:hAnsi="Calibri" w:eastAsia="Calibri"/>
                <w:b w:val="0"/>
                <w:color w:val="5C6570"/>
                <w:sz w:val="22"/>
              </w:rPr>
              <w:t>A yearly allowance covers the tools and programs people actually use.</w:t>
            </w:r>
          </w:p>
          <w:p>
            <w:pPr>
              <w:spacing w:before="20" w:after="40" w:line="259" w:lineRule="auto"/>
            </w:pPr>
            <w:r>
              <w:rPr>
                <w:rFonts w:ascii="Calibri" w:hAnsi="Calibri" w:eastAsia="Calibri"/>
                <w:b w:val="0"/>
                <w:color w:val="8A7354"/>
                <w:sz w:val="22"/>
              </w:rPr>
              <w:t xml:space="preserve">–  </w:t>
            </w:r>
            <w:r>
              <w:rPr>
                <w:rFonts w:ascii="Calibri" w:hAnsi="Calibri" w:eastAsia="Calibri"/>
                <w:b w:val="0"/>
                <w:color w:val="1C2430"/>
                <w:sz w:val="22"/>
              </w:rPr>
              <w:t>Janus Soft reimburses up to $1,000.00 per calendar year for health and technology products and programs, including laptops, gym memberships, cell phones, and tablets.</w:t>
            </w:r>
          </w:p>
        </w:tc>
      </w:tr>
    </w:tbl>
    <w:p>
      <w:pPr>
        <w:spacing w:before="320" w:after="0" w:line="259" w:lineRule="auto"/>
      </w:pPr>
      <w:r>
        <w:rPr>
          <w:rFonts w:ascii="Calibri" w:hAnsi="Calibri" w:eastAsia="Calibri"/>
          <w:b w:val="0"/>
          <w:color w:val="5C6570"/>
          <w:sz w:val="16"/>
        </w:rPr>
        <w:t>These terms are the 2026–27 benefits summary of Janus Soft Inc..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088" w:right="1008" w:bottom="1037" w:left="1008" w:header="461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</w:pPr>
    <w:r/>
  </w:p>
  <w:tbl>
    <w:tblPr>
      <w:tblW w:type="auto" w:w="0"/>
      <w:tblLook w:firstColumn="1" w:firstRow="1" w:lastColumn="0" w:lastRow="0" w:noHBand="0" w:noVBand="1" w:val="04A0"/>
      <w:tblW w:w="10224" w:type="dxa"/>
      <w:tblLayout w:type="fixed"/>
    </w:tblPr>
    <w:tblGrid>
      <w:gridCol w:w="5112"/>
      <w:gridCol w:w="5112"/>
    </w:tblGrid>
    <w:tr>
      <w:tc>
        <w:tcPr>
          <w:tcW w:type="dxa" w:w="5112"/>
          <w:tcW w:w="7488" w:type="dxa"/>
          <w:shd w:fill="FBF8F4" w:val="clear"/>
          <w:tcBorders>
            <w:top w:val="single" w:sz="8" w:space="0" w:color="E4D9C8"/>
            <w:left w:val="nil"/>
            <w:bottom w:val="nil"/>
            <w:right w:val="nil"/>
          </w:tcBorders>
          <w:tcMar>
            <w:top w:w="40" w:type="dxa"/>
            <w:left w:w="40" w:type="dxa"/>
            <w:bottom w:w="40" w:type="dxa"/>
            <w:right w:w="40" w:type="dxa"/>
          </w:tcMar>
        </w:tcPr>
        <w:p>
          <w:pPr>
            <w:spacing w:before="40" w:after="0" w:line="259" w:lineRule="auto"/>
          </w:pPr>
          <w:r>
            <w:rPr>
              <w:rFonts w:ascii="Calibri" w:hAnsi="Calibri" w:eastAsia="Calibri"/>
              <w:b w:val="0"/>
              <w:color w:val="5C6570"/>
              <w:sz w:val="16"/>
            </w:rPr>
            <w:t>For candidates   ·   2026–27</w:t>
          </w:r>
        </w:p>
      </w:tc>
      <w:tc>
        <w:tcPr>
          <w:tcW w:type="dxa" w:w="5112"/>
          <w:tcW w:w="2736" w:type="dxa"/>
          <w:shd w:fill="FBF8F4" w:val="clear"/>
          <w:tcBorders>
            <w:top w:val="single" w:sz="8" w:space="0" w:color="E4D9C8"/>
            <w:left w:val="nil"/>
            <w:bottom w:val="nil"/>
            <w:right w:val="nil"/>
          </w:tcBorders>
          <w:tcMar>
            <w:top w:w="40" w:type="dxa"/>
            <w:left w:w="40" w:type="dxa"/>
            <w:bottom w:w="40" w:type="dxa"/>
            <w:right w:w="40" w:type="dxa"/>
          </w:tcMar>
        </w:tcPr>
        <w:p>
          <w:pPr>
            <w:spacing w:before="40" w:after="0" w:line="259" w:lineRule="auto"/>
            <w:jc w:val="right"/>
          </w:pPr>
          <w:r>
            <w:rPr>
              <w:rFonts w:ascii="Calibri" w:hAnsi="Calibri" w:eastAsia="Calibri"/>
              <w:b w:val="0"/>
              <w:color w:val="5C6570"/>
              <w:sz w:val="16"/>
            </w:rPr>
            <w:t xml:space="preserve">Page </w:t>
          </w:r>
          <w:r>
            <w:rPr>
              <w:rFonts w:ascii="Calibri" w:hAnsi="Calibri" w:eastAsia="Calibri"/>
              <w:b w:val="0"/>
              <w:color w:val="5C6570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</w:pPr>
    <w:r/>
  </w:p>
  <w:tbl>
    <w:tblPr>
      <w:tblW w:type="auto" w:w="0"/>
      <w:tblLook w:firstColumn="1" w:firstRow="1" w:lastColumn="0" w:lastRow="0" w:noHBand="0" w:noVBand="1" w:val="04A0"/>
      <w:tblW w:w="10224" w:type="dxa"/>
      <w:tblLayout w:type="fixed"/>
    </w:tblPr>
    <w:tblGrid>
      <w:gridCol w:w="3408"/>
      <w:gridCol w:w="3408"/>
      <w:gridCol w:w="3408"/>
    </w:tblGrid>
    <w:tr>
      <w:tc>
        <w:tcPr>
          <w:tcW w:type="dxa" w:w="3408"/>
          <w:tcW w:w="835" w:type="dxa"/>
          <w:shd w:fill="FBF8F4" w:val="clear"/>
          <w:tcBorders>
            <w:top w:val="nil"/>
            <w:left w:val="nil"/>
            <w:bottom w:val="nil"/>
            <w:right w:val="nil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>
          <w:pPr>
            <w:spacing w:before="0" w:after="0" w:line="259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k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8"/>
          <w:tcW w:w="5112" w:type="dxa"/>
          <w:shd w:fill="FBF8F4" w:val="clear"/>
          <w:tcBorders>
            <w:top w:val="nil"/>
            <w:left w:val="nil"/>
            <w:bottom w:val="nil"/>
            <w:right w:val="nil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>
          <w:pPr>
            <w:spacing w:before="0" w:after="20" w:line="259" w:lineRule="auto"/>
            <w:jc w:val="left"/>
          </w:pPr>
          <w:r>
            <w:rPr>
              <w:rFonts w:ascii="Calibri" w:hAnsi="Calibri" w:eastAsia="Calibri"/>
              <w:b/>
              <w:color w:val="1C2430"/>
              <w:sz w:val="24"/>
            </w:rPr>
            <w:t>Janus Soft Inc.</w:t>
          </w:r>
        </w:p>
        <w:p>
          <w:pPr>
            <w:spacing w:before="0" w:after="0" w:line="259" w:lineRule="auto"/>
          </w:pPr>
          <w:r>
            <w:rPr>
              <w:rFonts w:ascii="Calibri" w:hAnsi="Calibri" w:eastAsia="Calibri"/>
              <w:b w:val="0"/>
              <w:color w:val="8A7354"/>
              <w:sz w:val="18"/>
            </w:rPr>
            <w:t>Benefits  2026–27</w:t>
          </w:r>
        </w:p>
      </w:tc>
      <w:tc>
        <w:tcPr>
          <w:tcW w:type="dxa" w:w="3408"/>
          <w:tcW w:w="4276" w:type="dxa"/>
          <w:shd w:fill="FBF8F4" w:val="clear"/>
          <w:tcBorders>
            <w:top w:val="nil"/>
            <w:left w:val="nil"/>
            <w:bottom w:val="nil"/>
            <w:right w:val="nil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>
          <w:pPr>
            <w:spacing w:before="0" w:after="0" w:line="259" w:lineRule="auto"/>
            <w:jc w:val="right"/>
          </w:pPr>
          <w:r>
            <w:rPr>
              <w:rFonts w:ascii="Calibri" w:hAnsi="Calibri" w:eastAsia="Calibri"/>
              <w:b w:val="0"/>
              <w:color w:val="5C6570"/>
              <w:sz w:val="16"/>
            </w:rPr>
            <w:t>43300 Southern Walk Plaza, Suite 619, Ashburn, VA 20148</w:t>
          </w:r>
        </w:p>
        <w:p>
          <w:pPr>
            <w:spacing w:before="0" w:after="0" w:line="259" w:lineRule="auto"/>
            <w:jc w:val="right"/>
          </w:pPr>
          <w:r>
            <w:rPr>
              <w:rFonts w:ascii="Calibri" w:hAnsi="Calibri" w:eastAsia="Calibri"/>
              <w:b w:val="0"/>
              <w:color w:val="1C2430"/>
              <w:sz w:val="16"/>
            </w:rPr>
            <w:t>703-599-9460</w:t>
          </w:r>
        </w:p>
        <w:p>
          <w:pPr>
            <w:spacing w:before="0" w:after="0" w:line="259" w:lineRule="auto"/>
            <w:jc w:val="right"/>
          </w:pPr>
          <w:r>
            <w:rPr>
              <w:rFonts w:ascii="Calibri" w:hAnsi="Calibri" w:eastAsia="Calibri"/>
              <w:b w:val="0"/>
              <w:color w:val="8A7354"/>
              <w:sz w:val="16"/>
            </w:rPr>
            <w:t>contact@janus-soft.com</w:t>
          </w:r>
        </w:p>
      </w:tc>
    </w:tr>
  </w:tbl>
  <w:p>
    <w:pPr>
      <w:spacing w:before="80" w:after="0" w:line="259" w:lineRule="auto"/>
      <w:pBdr>
        <w:bottom w:val="single" w:sz="12" w:space="1" w:color="8A735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Janus Soft Inc. Benefits 2026–27</dc:title>
  <dc:subject>Benefits guide for candidates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Benefits</cp:category>
</cp:coreProperties>
</file>