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787"/>
      </w:tblGrid>
      <w:tr>
        <w:tc>
          <w:tcPr>
            <w:tcW w:type="dxa" w:w="5188"/>
            <w:shd w:fill="1F5B4D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val="single" w:sz="8" w:color="C49A4A"/>
            </w:tcBorders>
            <w:vAlign w:val="center"/>
          </w:tcPr>
          <w:p>
            <w:pPr>
              <w:bidi w:val="1"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34"/>
                <w:rtl w:val="1"/>
              </w:rPr>
              <w:t>01</w:t>
            </w:r>
          </w:p>
        </w:tc>
        <w:tc>
          <w:tcPr>
            <w:tcW w:type="dxa" w:w="5188"/>
            <w:shd w:fill="F8F5ED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val="single" w:sz="8" w:color="C49A4A"/>
            </w:tcBorders>
            <w:vAlign w:val="center"/>
          </w:tcPr>
          <w:p>
            <w:pPr>
              <w:bidi w:val="1"/>
              <w:spacing w:before="0" w:after="20" w:line="240" w:lineRule="auto"/>
              <w:jc w:val="right"/>
            </w:pPr>
            <w:r>
              <w:rPr>
                <w:rFonts w:ascii="Arial" w:hAnsi="Arial" w:cs="Arial"/>
                <w:b/>
                <w:color w:val="C49A4A"/>
                <w:sz w:val="14"/>
                <w:rtl w:val="1"/>
              </w:rPr>
              <w:t>الهوية الاستراتيجية</w:t>
              <w:br/>
            </w:r>
            <w:r>
              <w:rPr>
                <w:rFonts w:ascii="Arial" w:hAnsi="Arial" w:cs="Arial"/>
                <w:b/>
                <w:color w:val="18312D"/>
                <w:sz w:val="35"/>
                <w:rtl w:val="1"/>
              </w:rPr>
              <w:t>من مجلة متفرقة الموضوعات إلى مرجع تحريري موثوق</w:t>
            </w:r>
            <w:r>
              <w:rPr>
                <w:rFonts w:ascii="Arial" w:hAnsi="Arial" w:cs="Arial"/>
                <w:b w:val="0"/>
                <w:color w:val="5E6864"/>
                <w:sz w:val="16"/>
                <w:rtl w:val="1"/>
              </w:rPr>
              <w:br/>
              <w:t>رؤية عملية تحافظ على اسم «صيد» وتوسّع أثره من داخل اختصاصه لا خارجه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18312D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bidi w:val="1"/>
              <w:spacing w:before="0" w:after="60" w:line="252" w:lineRule="auto"/>
              <w:jc w:val="right"/>
            </w:pPr>
            <w:r>
              <w:rPr>
                <w:rFonts w:ascii="Arial" w:hAnsi="Arial" w:cs="Arial"/>
                <w:b/>
                <w:color w:val="C49A4A"/>
                <w:sz w:val="15"/>
                <w:rtl w:val="1"/>
              </w:rPr>
              <w:t>الرؤية المقترحة</w:t>
              <w:br/>
            </w:r>
            <w:r>
              <w:rPr>
                <w:rFonts w:ascii="Arial" w:hAnsi="Arial" w:cs="Arial"/>
                <w:b/>
                <w:color w:val="FFFFFF"/>
                <w:sz w:val="26"/>
                <w:rtl w:val="1"/>
              </w:rPr>
              <w:t>أن تصبح «صيد» المرجع العربي الأكثر موثوقية في الصيد المسؤول، وهجرة الطيور، والعلاقة المتوازنة بين الإنسان والحياة البرية.</w:t>
            </w:r>
          </w:p>
          <w:p>
            <w:pPr>
              <w:bidi w:val="1"/>
              <w:spacing w:before="0" w:after="0" w:line="252" w:lineRule="auto"/>
              <w:jc w:val="right"/>
            </w:pPr>
            <w:r>
              <w:rPr>
                <w:rFonts w:ascii="Arial" w:hAnsi="Arial" w:cs="Arial"/>
                <w:b w:val="0"/>
                <w:color w:val="E5E1D6"/>
                <w:sz w:val="17"/>
                <w:rtl w:val="1"/>
              </w:rPr>
              <w:t>المهمة: تحويل العلم والقانون والخبرة الميدانية إلى محتوى واضح يغيّر السلوك، ويعطي الصياد المسؤول مكانًا في حماية الطبيعة بدل وضعه خارج النقاش.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18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color="C49A4A"/>
              <w:bottom w:val="single" w:sz="4" w:color="D8D2C3"/>
            </w:tcBorders>
          </w:tcPr>
          <w:p/>
          <w:p>
            <w:pPr>
              <w:bidi w:val="1"/>
              <w:spacing w:before="0" w:after="80" w:line="240" w:lineRule="auto"/>
              <w:jc w:val="right"/>
            </w:pPr>
            <w:r>
              <w:rPr>
                <w:rFonts w:ascii="Arial" w:hAnsi="Arial" w:cs="Arial"/>
                <w:b/>
                <w:color w:val="C49A4A"/>
                <w:sz w:val="14"/>
                <w:rtl w:val="1"/>
              </w:rPr>
              <w:t>الجمهور ذو الأولوية</w:t>
            </w:r>
          </w:p>
          <w:p>
            <w:pPr>
              <w:bidi w:val="1"/>
              <w:spacing w:before="0" w:after="100" w:line="240" w:lineRule="auto"/>
              <w:jc w:val="right"/>
            </w:pPr>
            <w:r>
              <w:rPr>
                <w:rFonts w:ascii="Arial" w:hAnsi="Arial" w:cs="Arial"/>
                <w:b/>
                <w:color w:val="18312D"/>
                <w:sz w:val="25"/>
                <w:rtl w:val="1"/>
              </w:rPr>
              <w:t>جمهورٌ عربي يجمعه الميدان</w:t>
            </w:r>
          </w:p>
          <w:p>
            <w:pPr>
              <w:bidi w:val="1"/>
              <w:spacing w:before="0" w:after="24" w:line="245" w:lineRule="auto"/>
              <w:ind w:right="85" w:hanging="85"/>
              <w:jc w:val="right"/>
            </w:pPr>
            <w:r>
              <w:rPr>
                <w:rFonts w:ascii="Arial" w:hAnsi="Arial" w:cs="Arial"/>
                <w:b w:val="0"/>
                <w:color w:val="18312D"/>
                <w:sz w:val="17"/>
                <w:rtl w:val="1"/>
              </w:rPr>
              <w:t>•  الصيادون الراغبون في معرفة القانون والأنواع والمواسم.</w:t>
            </w:r>
          </w:p>
          <w:p>
            <w:pPr>
              <w:bidi w:val="1"/>
              <w:spacing w:before="0" w:after="24" w:line="245" w:lineRule="auto"/>
              <w:ind w:right="85" w:hanging="85"/>
              <w:jc w:val="right"/>
            </w:pPr>
            <w:r>
              <w:rPr>
                <w:rFonts w:ascii="Arial" w:hAnsi="Arial" w:cs="Arial"/>
                <w:b w:val="0"/>
                <w:color w:val="18312D"/>
                <w:sz w:val="17"/>
                <w:rtl w:val="1"/>
              </w:rPr>
              <w:t>•  مراقبو الطيور والمهتمون بالطبيعة والرحلات.</w:t>
            </w:r>
          </w:p>
          <w:p>
            <w:pPr>
              <w:bidi w:val="1"/>
              <w:spacing w:before="0" w:after="24" w:line="245" w:lineRule="auto"/>
              <w:ind w:right="85" w:hanging="85"/>
              <w:jc w:val="right"/>
            </w:pPr>
            <w:r>
              <w:rPr>
                <w:rFonts w:ascii="Arial" w:hAnsi="Arial" w:cs="Arial"/>
                <w:b w:val="0"/>
                <w:color w:val="18312D"/>
                <w:sz w:val="17"/>
                <w:rtl w:val="1"/>
              </w:rPr>
              <w:t>•  الشباب والمدارس والبلديات وصنّاع القرار.</w:t>
            </w:r>
          </w:p>
          <w:p>
            <w:pPr>
              <w:bidi w:val="1"/>
              <w:spacing w:before="0" w:after="24" w:line="245" w:lineRule="auto"/>
              <w:ind w:right="85" w:hanging="85"/>
              <w:jc w:val="right"/>
            </w:pPr>
            <w:r>
              <w:rPr>
                <w:rFonts w:ascii="Arial" w:hAnsi="Arial" w:cs="Arial"/>
                <w:b w:val="0"/>
                <w:color w:val="18312D"/>
                <w:sz w:val="17"/>
                <w:rtl w:val="1"/>
              </w:rPr>
              <w:t>•  الصحافيون والباحثون والجهات المانحة الباحثة عن مرجع عربي.</w:t>
            </w:r>
          </w:p>
        </w:tc>
        <w:tc>
          <w:tcPr>
            <w:tcW w:type="dxa" w:w="518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8" w:color="C49A4A"/>
              <w:bottom w:val="single" w:sz="4" w:color="D8D2C3"/>
            </w:tcBorders>
          </w:tcPr>
          <w:p/>
          <w:p>
            <w:pPr>
              <w:bidi w:val="1"/>
              <w:spacing w:before="0" w:after="80" w:line="240" w:lineRule="auto"/>
              <w:jc w:val="right"/>
            </w:pPr>
            <w:r>
              <w:rPr>
                <w:rFonts w:ascii="Arial" w:hAnsi="Arial" w:cs="Arial"/>
                <w:b/>
                <w:color w:val="C49A4A"/>
                <w:sz w:val="14"/>
                <w:rtl w:val="1"/>
              </w:rPr>
              <w:t>الوعد التحريري</w:t>
            </w:r>
          </w:p>
          <w:p>
            <w:pPr>
              <w:bidi w:val="1"/>
              <w:spacing w:before="0" w:after="100" w:line="240" w:lineRule="auto"/>
              <w:jc w:val="right"/>
            </w:pPr>
            <w:r>
              <w:rPr>
                <w:rFonts w:ascii="Arial" w:hAnsi="Arial" w:cs="Arial"/>
                <w:b/>
                <w:color w:val="18312D"/>
                <w:sz w:val="25"/>
                <w:rtl w:val="1"/>
              </w:rPr>
              <w:t>معلومة تُفهم، وموقف يُوثّق، وسلوك يتغيّر</w:t>
            </w:r>
          </w:p>
          <w:p>
            <w:pPr>
              <w:bidi w:val="1"/>
              <w:spacing w:before="0" w:after="24" w:line="245" w:lineRule="auto"/>
              <w:ind w:right="85" w:hanging="85"/>
              <w:jc w:val="right"/>
            </w:pPr>
            <w:r>
              <w:rPr>
                <w:rFonts w:ascii="Arial" w:hAnsi="Arial" w:cs="Arial"/>
                <w:b w:val="0"/>
                <w:color w:val="18312D"/>
                <w:sz w:val="17"/>
                <w:rtl w:val="1"/>
              </w:rPr>
              <w:t>•  العلم قبل الانطباع، والقانون قبل الجدل.</w:t>
            </w:r>
          </w:p>
          <w:p>
            <w:pPr>
              <w:bidi w:val="1"/>
              <w:spacing w:before="0" w:after="24" w:line="245" w:lineRule="auto"/>
              <w:ind w:right="85" w:hanging="85"/>
              <w:jc w:val="right"/>
            </w:pPr>
            <w:r>
              <w:rPr>
                <w:rFonts w:ascii="Arial" w:hAnsi="Arial" w:cs="Arial"/>
                <w:b w:val="0"/>
                <w:color w:val="18312D"/>
                <w:sz w:val="17"/>
                <w:rtl w:val="1"/>
              </w:rPr>
              <w:t>•  تمييز واضح بين الصياد المسؤول والقنّاص المخالف.</w:t>
            </w:r>
          </w:p>
          <w:p>
            <w:pPr>
              <w:bidi w:val="1"/>
              <w:spacing w:before="0" w:after="24" w:line="245" w:lineRule="auto"/>
              <w:ind w:right="85" w:hanging="85"/>
              <w:jc w:val="right"/>
            </w:pPr>
            <w:r>
              <w:rPr>
                <w:rFonts w:ascii="Arial" w:hAnsi="Arial" w:cs="Arial"/>
                <w:b w:val="0"/>
                <w:color w:val="18312D"/>
                <w:sz w:val="17"/>
                <w:rtl w:val="1"/>
              </w:rPr>
              <w:t>•  لغة عربية جذابة من دون تبسيط مُخل أو تهويل.</w:t>
            </w:r>
          </w:p>
          <w:p>
            <w:pPr>
              <w:bidi w:val="1"/>
              <w:spacing w:before="0" w:after="24" w:line="245" w:lineRule="auto"/>
              <w:ind w:right="85" w:hanging="85"/>
              <w:jc w:val="right"/>
            </w:pPr>
            <w:r>
              <w:rPr>
                <w:rFonts w:ascii="Arial" w:hAnsi="Arial" w:cs="Arial"/>
                <w:b w:val="0"/>
                <w:color w:val="18312D"/>
                <w:sz w:val="17"/>
                <w:rtl w:val="1"/>
              </w:rPr>
              <w:t>•  استقلال تحريري معلن عن الشريك والممول.</w:t>
            </w:r>
          </w:p>
        </w:tc>
      </w:tr>
    </w:tbl>
    <w:p>
      <w:pPr>
        <w:bidi w:val="1"/>
        <w:spacing w:before="0" w:after="80" w:line="240" w:lineRule="auto"/>
        <w:jc w:val="right"/>
      </w:pPr>
      <w:r>
        <w:rPr>
          <w:rFonts w:ascii="Arial" w:hAnsi="Arial" w:cs="Arial"/>
          <w:b/>
          <w:color w:val="C49A4A"/>
          <w:sz w:val="14"/>
          <w:rtl w:val="1"/>
        </w:rPr>
        <w:t>التميّز عن الجهات المشابهة</w:t>
      </w:r>
    </w:p>
    <w:p>
      <w:pPr>
        <w:bidi w:val="1"/>
        <w:spacing w:before="0" w:after="100" w:line="240" w:lineRule="auto"/>
        <w:jc w:val="right"/>
      </w:pPr>
      <w:r>
        <w:rPr>
          <w:rFonts w:ascii="Arial" w:hAnsi="Arial" w:cs="Arial"/>
          <w:b/>
          <w:color w:val="18312D"/>
          <w:sz w:val="28"/>
          <w:rtl w:val="1"/>
        </w:rPr>
        <w:t>التكامل لا المنافسة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9"/>
        <w:gridCol w:w="4054"/>
        <w:gridCol w:w="4167"/>
      </w:tblGrid>
      <w:tr>
        <w:tc>
          <w:tcPr>
            <w:tcW w:type="dxa" w:w="3459"/>
            <w:shd w:fill="1F5B4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  <w:rtl w:val="1"/>
              </w:rPr>
              <w:t>الجهة</w:t>
            </w:r>
          </w:p>
        </w:tc>
        <w:tc>
          <w:tcPr>
            <w:tcW w:type="dxa" w:w="3459"/>
            <w:shd w:fill="1F5B4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  <w:rtl w:val="1"/>
              </w:rPr>
              <w:t>وظيفتها الطبيعية</w:t>
            </w:r>
          </w:p>
        </w:tc>
        <w:tc>
          <w:tcPr>
            <w:tcW w:type="dxa" w:w="3459"/>
            <w:shd w:fill="1F5B4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  <w:rtl w:val="1"/>
              </w:rPr>
              <w:t>وظيفة «صيد» المميّزة</w:t>
            </w:r>
          </w:p>
        </w:tc>
      </w:tr>
      <w:tr>
        <w:tc>
          <w:tcPr>
            <w:tcW w:type="dxa" w:w="3459"/>
            <w:shd w:fill="F8F5ED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7" w:lineRule="auto"/>
              <w:jc w:val="right"/>
            </w:pPr>
            <w:r>
              <w:rPr>
                <w:rFonts w:ascii="Arial" w:hAnsi="Arial" w:cs="Arial"/>
                <w:b/>
                <w:color w:val="18312D"/>
                <w:sz w:val="15"/>
                <w:rtl w:val="1"/>
              </w:rPr>
              <w:t>SPNL والجمعيات</w:t>
            </w:r>
          </w:p>
        </w:tc>
        <w:tc>
          <w:tcPr>
            <w:tcW w:type="dxa" w:w="3459"/>
            <w:shd w:fill="F8F5ED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7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5"/>
                <w:rtl w:val="1"/>
              </w:rPr>
              <w:t>مشاريع حماية، حِمى، تدريب، تمويل وتنفيذ ميداني.</w:t>
            </w:r>
          </w:p>
        </w:tc>
        <w:tc>
          <w:tcPr>
            <w:tcW w:type="dxa" w:w="3459"/>
            <w:shd w:fill="F8F5ED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7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5"/>
                <w:rtl w:val="1"/>
              </w:rPr>
              <w:t>صحافة مستقلة تشرح وتراقب وتتحقق وتنقل أصوات الأطراف.</w:t>
            </w:r>
          </w:p>
        </w:tc>
      </w:tr>
      <w:tr>
        <w:tc>
          <w:tcPr>
            <w:tcW w:type="dxa" w:w="3459"/>
            <w:shd w:fill="F1EEE5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7" w:lineRule="auto"/>
              <w:jc w:val="right"/>
            </w:pPr>
            <w:r>
              <w:rPr>
                <w:rFonts w:ascii="Arial" w:hAnsi="Arial" w:cs="Arial"/>
                <w:b/>
                <w:color w:val="18312D"/>
                <w:sz w:val="15"/>
                <w:rtl w:val="1"/>
              </w:rPr>
              <w:t>CMS وBirdLife</w:t>
            </w:r>
          </w:p>
        </w:tc>
        <w:tc>
          <w:tcPr>
            <w:tcW w:type="dxa" w:w="3459"/>
            <w:shd w:fill="F1EEE5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7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5"/>
                <w:rtl w:val="1"/>
              </w:rPr>
              <w:t>معايير واتفاقيات وبيانات إقليمية ودولية.</w:t>
            </w:r>
          </w:p>
        </w:tc>
        <w:tc>
          <w:tcPr>
            <w:tcW w:type="dxa" w:w="3459"/>
            <w:shd w:fill="F1EEE5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7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5"/>
                <w:rtl w:val="1"/>
              </w:rPr>
              <w:t>تعريب المعرفة وتحويلها إلى أدلة وقصص وأدوات محلية قابلة للاستخدام.</w:t>
            </w:r>
          </w:p>
        </w:tc>
      </w:tr>
      <w:tr>
        <w:tc>
          <w:tcPr>
            <w:tcW w:type="dxa" w:w="3459"/>
            <w:shd w:fill="F8F5ED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7" w:lineRule="auto"/>
              <w:jc w:val="right"/>
            </w:pPr>
            <w:r>
              <w:rPr>
                <w:rFonts w:ascii="Arial" w:hAnsi="Arial" w:cs="Arial"/>
                <w:b/>
                <w:color w:val="18312D"/>
                <w:sz w:val="15"/>
                <w:rtl w:val="1"/>
              </w:rPr>
              <w:t>أندية الصيد</w:t>
            </w:r>
          </w:p>
        </w:tc>
        <w:tc>
          <w:tcPr>
            <w:tcW w:type="dxa" w:w="3459"/>
            <w:shd w:fill="F8F5ED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7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5"/>
                <w:rtl w:val="1"/>
              </w:rPr>
              <w:t>خدمات الأعضاء والدفاع عن الهواية والتدريب.</w:t>
            </w:r>
          </w:p>
        </w:tc>
        <w:tc>
          <w:tcPr>
            <w:tcW w:type="dxa" w:w="3459"/>
            <w:shd w:fill="F8F5ED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7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5"/>
                <w:rtl w:val="1"/>
              </w:rPr>
              <w:t>منبر عام لا يمثل فئة واحدة ويوازن الحقائق والمصلحة البيئية.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787"/>
      </w:tblGrid>
      <w:tr>
        <w:tc>
          <w:tcPr>
            <w:tcW w:type="dxa" w:w="5188"/>
            <w:shd w:fill="1F5B4D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val="single" w:sz="8" w:color="C49A4A"/>
            </w:tcBorders>
            <w:vAlign w:val="center"/>
          </w:tcPr>
          <w:p>
            <w:pPr>
              <w:bidi w:val="1"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34"/>
                <w:rtl w:val="1"/>
              </w:rPr>
              <w:t>02</w:t>
            </w:r>
          </w:p>
        </w:tc>
        <w:tc>
          <w:tcPr>
            <w:tcW w:type="dxa" w:w="5188"/>
            <w:shd w:fill="F8F5ED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val="single" w:sz="8" w:color="C49A4A"/>
            </w:tcBorders>
            <w:vAlign w:val="center"/>
          </w:tcPr>
          <w:p>
            <w:pPr>
              <w:bidi w:val="1"/>
              <w:spacing w:before="0" w:after="20" w:line="240" w:lineRule="auto"/>
              <w:jc w:val="right"/>
            </w:pPr>
            <w:r>
              <w:rPr>
                <w:rFonts w:ascii="Arial" w:hAnsi="Arial" w:cs="Arial"/>
                <w:b/>
                <w:color w:val="C49A4A"/>
                <w:sz w:val="14"/>
                <w:rtl w:val="1"/>
              </w:rPr>
              <w:t>النموذج التشغيلي</w:t>
              <w:br/>
            </w:r>
            <w:r>
              <w:rPr>
                <w:rFonts w:ascii="Arial" w:hAnsi="Arial" w:cs="Arial"/>
                <w:b/>
                <w:color w:val="18312D"/>
                <w:sz w:val="35"/>
                <w:rtl w:val="1"/>
              </w:rPr>
              <w:t>محتوى منتظم وشراكات تخدم المنتج التحريري</w:t>
            </w:r>
            <w:r>
              <w:rPr>
                <w:rFonts w:ascii="Arial" w:hAnsi="Arial" w:cs="Arial"/>
                <w:b w:val="0"/>
                <w:color w:val="5E6864"/>
                <w:sz w:val="16"/>
                <w:rtl w:val="1"/>
              </w:rPr>
              <w:br/>
              <w:t>خطة قابلة للتنفيذ بفريق صغير، مع توسّع مرحلي مبني على النتائج</w:t>
            </w:r>
          </w:p>
        </w:tc>
      </w:tr>
    </w:tbl>
    <w:p>
      <w:pPr>
        <w:spacing w:after="20"/>
      </w:pPr>
    </w:p>
    <w:p>
      <w:pPr>
        <w:bidi w:val="1"/>
        <w:spacing w:before="0" w:after="80" w:line="240" w:lineRule="auto"/>
        <w:jc w:val="right"/>
      </w:pPr>
      <w:r>
        <w:rPr>
          <w:rFonts w:ascii="Arial" w:hAnsi="Arial" w:cs="Arial"/>
          <w:b/>
          <w:color w:val="C49A4A"/>
          <w:sz w:val="14"/>
          <w:rtl w:val="1"/>
        </w:rPr>
        <w:t>محفظة المحتوى</w:t>
      </w:r>
    </w:p>
    <w:p>
      <w:pPr>
        <w:bidi w:val="1"/>
        <w:spacing w:before="0" w:after="120" w:line="240" w:lineRule="auto"/>
        <w:jc w:val="right"/>
      </w:pPr>
      <w:r>
        <w:rPr>
          <w:rFonts w:ascii="Arial" w:hAnsi="Arial" w:cs="Arial"/>
          <w:b/>
          <w:color w:val="18312D"/>
          <w:sz w:val="28"/>
          <w:rtl w:val="1"/>
        </w:rPr>
        <w:t>ستة أعمدة، لكل واحد وظيفة ونسبة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188"/>
            <w:shd w:fill="F8F5ED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708C62"/>
            </w:tcBorders>
          </w:tcPr>
          <w:p>
            <w:pPr>
              <w:bidi w:val="1"/>
              <w:spacing w:before="0" w:after="40" w:line="240" w:lineRule="auto"/>
              <w:jc w:val="right"/>
            </w:pPr>
            <w:r>
              <w:rPr>
                <w:rFonts w:ascii="Arial" w:hAnsi="Arial" w:cs="Arial"/>
                <w:b/>
                <w:color w:val="C49A4A"/>
                <w:sz w:val="16"/>
                <w:rtl w:val="1"/>
              </w:rPr>
              <w:t xml:space="preserve">20%  </w:t>
            </w:r>
            <w:r>
              <w:rPr>
                <w:rFonts w:ascii="Arial" w:hAnsi="Arial" w:cs="Arial"/>
                <w:b/>
                <w:color w:val="1F5B4D"/>
                <w:sz w:val="20"/>
                <w:rtl w:val="1"/>
              </w:rPr>
              <w:t>الصيد المسؤول والقانون</w:t>
            </w:r>
          </w:p>
          <w:p>
            <w:pPr>
              <w:bidi w:val="1"/>
              <w:spacing w:before="0" w:after="0" w:line="245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5"/>
                <w:rtl w:val="1"/>
              </w:rPr>
              <w:t>القانون بلغة مفهومة، سلامة، أخلاقيات، معدات وممارسات تمنع المخالفات.</w:t>
            </w:r>
          </w:p>
        </w:tc>
        <w:tc>
          <w:tcPr>
            <w:tcW w:type="dxa" w:w="5188"/>
            <w:shd w:fill="F8F5ED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708C62"/>
            </w:tcBorders>
          </w:tcPr>
          <w:p>
            <w:pPr>
              <w:bidi w:val="1"/>
              <w:spacing w:before="0" w:after="40" w:line="240" w:lineRule="auto"/>
              <w:jc w:val="right"/>
            </w:pPr>
            <w:r>
              <w:rPr>
                <w:rFonts w:ascii="Arial" w:hAnsi="Arial" w:cs="Arial"/>
                <w:b/>
                <w:color w:val="C49A4A"/>
                <w:sz w:val="16"/>
                <w:rtl w:val="1"/>
              </w:rPr>
              <w:t xml:space="preserve">25%  </w:t>
            </w:r>
            <w:r>
              <w:rPr>
                <w:rFonts w:ascii="Arial" w:hAnsi="Arial" w:cs="Arial"/>
                <w:b/>
                <w:color w:val="1F5B4D"/>
                <w:sz w:val="20"/>
                <w:rtl w:val="1"/>
              </w:rPr>
              <w:t>الهجرة والميدان</w:t>
            </w:r>
          </w:p>
          <w:p>
            <w:pPr>
              <w:bidi w:val="1"/>
              <w:spacing w:before="0" w:after="0" w:line="245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5"/>
                <w:rtl w:val="1"/>
              </w:rPr>
              <w:t>تنبيهات المواسم، خرائط العبور، الأنواع، مشاهدات موثقة وتقارير من النقاط الساخنة.</w:t>
            </w:r>
          </w:p>
        </w:tc>
      </w:tr>
      <w:tr>
        <w:tc>
          <w:tcPr>
            <w:tcW w:type="dxa" w:w="5188"/>
            <w:shd w:fill="F1EEE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708C62"/>
            </w:tcBorders>
          </w:tcPr>
          <w:p>
            <w:pPr>
              <w:bidi w:val="1"/>
              <w:spacing w:before="0" w:after="40" w:line="240" w:lineRule="auto"/>
              <w:jc w:val="right"/>
            </w:pPr>
            <w:r>
              <w:rPr>
                <w:rFonts w:ascii="Arial" w:hAnsi="Arial" w:cs="Arial"/>
                <w:b/>
                <w:color w:val="C49A4A"/>
                <w:sz w:val="16"/>
                <w:rtl w:val="1"/>
              </w:rPr>
              <w:t xml:space="preserve">15%  </w:t>
            </w:r>
            <w:r>
              <w:rPr>
                <w:rFonts w:ascii="Arial" w:hAnsi="Arial" w:cs="Arial"/>
                <w:b/>
                <w:color w:val="1F5B4D"/>
                <w:sz w:val="20"/>
                <w:rtl w:val="1"/>
              </w:rPr>
              <w:t>تحقيق وبيانات</w:t>
            </w:r>
          </w:p>
          <w:p>
            <w:pPr>
              <w:bidi w:val="1"/>
              <w:spacing w:before="0" w:after="0" w:line="245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5"/>
                <w:rtl w:val="1"/>
              </w:rPr>
              <w:t>رصد ادعاءات، تحليل أرقام، تتبع تطبيق القانون، وملفات تحقق قابلة للاستشهاد.</w:t>
            </w:r>
          </w:p>
        </w:tc>
        <w:tc>
          <w:tcPr>
            <w:tcW w:type="dxa" w:w="5188"/>
            <w:shd w:fill="F1EEE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708C62"/>
            </w:tcBorders>
          </w:tcPr>
          <w:p>
            <w:pPr>
              <w:bidi w:val="1"/>
              <w:spacing w:before="0" w:after="40" w:line="240" w:lineRule="auto"/>
              <w:jc w:val="right"/>
            </w:pPr>
            <w:r>
              <w:rPr>
                <w:rFonts w:ascii="Arial" w:hAnsi="Arial" w:cs="Arial"/>
                <w:b/>
                <w:color w:val="C49A4A"/>
                <w:sz w:val="16"/>
                <w:rtl w:val="1"/>
              </w:rPr>
              <w:t xml:space="preserve">20%  </w:t>
            </w:r>
            <w:r>
              <w:rPr>
                <w:rFonts w:ascii="Arial" w:hAnsi="Arial" w:cs="Arial"/>
                <w:b/>
                <w:color w:val="1F5B4D"/>
                <w:sz w:val="20"/>
                <w:rtl w:val="1"/>
              </w:rPr>
              <w:t>الطبيعة والتنوع الحيوي</w:t>
            </w:r>
          </w:p>
          <w:p>
            <w:pPr>
              <w:bidi w:val="1"/>
              <w:spacing w:before="0" w:after="0" w:line="245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5"/>
                <w:rtl w:val="1"/>
              </w:rPr>
              <w:t>طيور وحيوانات ونباتات وموائل، مع إبقاء الصلة واضحة بالميدان والإنسان.</w:t>
            </w:r>
          </w:p>
        </w:tc>
      </w:tr>
      <w:tr>
        <w:tc>
          <w:tcPr>
            <w:tcW w:type="dxa" w:w="5188"/>
            <w:shd w:fill="F8F5ED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708C62"/>
            </w:tcBorders>
          </w:tcPr>
          <w:p>
            <w:pPr>
              <w:bidi w:val="1"/>
              <w:spacing w:before="0" w:after="40" w:line="240" w:lineRule="auto"/>
              <w:jc w:val="right"/>
            </w:pPr>
            <w:r>
              <w:rPr>
                <w:rFonts w:ascii="Arial" w:hAnsi="Arial" w:cs="Arial"/>
                <w:b/>
                <w:color w:val="C49A4A"/>
                <w:sz w:val="16"/>
                <w:rtl w:val="1"/>
              </w:rPr>
              <w:t xml:space="preserve">10%  </w:t>
            </w:r>
            <w:r>
              <w:rPr>
                <w:rFonts w:ascii="Arial" w:hAnsi="Arial" w:cs="Arial"/>
                <w:b/>
                <w:color w:val="1F5B4D"/>
                <w:sz w:val="20"/>
                <w:rtl w:val="1"/>
              </w:rPr>
              <w:t>تراث وتعليم</w:t>
            </w:r>
          </w:p>
          <w:p>
            <w:pPr>
              <w:bidi w:val="1"/>
              <w:spacing w:before="0" w:after="0" w:line="245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5"/>
                <w:rtl w:val="1"/>
              </w:rPr>
              <w:t>ذاكرة الصيد، معرفة محلية، مواد للمدارس ومساحات شبابية لا تمجّد القتل.</w:t>
            </w:r>
          </w:p>
        </w:tc>
        <w:tc>
          <w:tcPr>
            <w:tcW w:type="dxa" w:w="5188"/>
            <w:shd w:fill="F8F5ED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5" w:color="708C62"/>
            </w:tcBorders>
          </w:tcPr>
          <w:p>
            <w:pPr>
              <w:bidi w:val="1"/>
              <w:spacing w:before="0" w:after="40" w:line="240" w:lineRule="auto"/>
              <w:jc w:val="right"/>
            </w:pPr>
            <w:r>
              <w:rPr>
                <w:rFonts w:ascii="Arial" w:hAnsi="Arial" w:cs="Arial"/>
                <w:b/>
                <w:color w:val="C49A4A"/>
                <w:sz w:val="16"/>
                <w:rtl w:val="1"/>
              </w:rPr>
              <w:t xml:space="preserve">10%  </w:t>
            </w:r>
            <w:r>
              <w:rPr>
                <w:rFonts w:ascii="Arial" w:hAnsi="Arial" w:cs="Arial"/>
                <w:b/>
                <w:color w:val="1F5B4D"/>
                <w:sz w:val="20"/>
                <w:rtl w:val="1"/>
              </w:rPr>
              <w:t>ناس واقتصاد محلي</w:t>
            </w:r>
          </w:p>
          <w:p>
            <w:pPr>
              <w:bidi w:val="1"/>
              <w:spacing w:before="0" w:after="0" w:line="245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5"/>
                <w:rtl w:val="1"/>
              </w:rPr>
              <w:t>صياد مسؤول، مراقب طيور، حارس، مزارع، بلدية وسياحة طبيعية منتجة للدخل.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18312D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bidi w:val="1"/>
              <w:spacing w:before="0" w:after="40" w:line="240" w:lineRule="auto"/>
              <w:jc w:val="right"/>
            </w:pPr>
            <w:r>
              <w:rPr>
                <w:rFonts w:ascii="Arial" w:hAnsi="Arial" w:cs="Arial"/>
                <w:b/>
                <w:color w:val="C49A4A"/>
                <w:sz w:val="16"/>
                <w:rtl w:val="1"/>
              </w:rPr>
              <w:t xml:space="preserve">الإيقاع التحريري المقترح  |  </w:t>
            </w:r>
            <w:r>
              <w:rPr>
                <w:rFonts w:ascii="Arial" w:hAnsi="Arial" w:cs="Arial"/>
                <w:b/>
                <w:color w:val="FFFFFF"/>
                <w:sz w:val="16"/>
                <w:rtl w:val="1"/>
              </w:rPr>
              <w:t>3 مواد أصلية أسبوعيًا  •  3 فيديوهات قصيرة  •  نشرة أسبوعية  •  موجز بيانات شهري  •  ملف موسمي كل ربيع وخريف</w:t>
            </w:r>
          </w:p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Arial" w:hAnsi="Arial" w:cs="Arial"/>
                <w:b w:val="0"/>
                <w:color w:val="DEDACF"/>
                <w:sz w:val="15"/>
                <w:rtl w:val="1"/>
              </w:rPr>
              <w:t>القاعدة: لا تُنشر مادة بلا مصدر وتاريخ واسم مسؤول عنها؛ ولا يُعاد تدوير بيان شريك بوصفه خبرًا مستقلًا.</w:t>
            </w:r>
          </w:p>
        </w:tc>
      </w:tr>
    </w:tbl>
    <w:p>
      <w:pPr>
        <w:bidi w:val="1"/>
        <w:spacing w:before="0" w:after="80" w:line="240" w:lineRule="auto"/>
        <w:jc w:val="right"/>
      </w:pPr>
      <w:r>
        <w:rPr>
          <w:rFonts w:ascii="Arial" w:hAnsi="Arial" w:cs="Arial"/>
          <w:b/>
          <w:color w:val="C49A4A"/>
          <w:sz w:val="14"/>
          <w:rtl w:val="1"/>
        </w:rPr>
        <w:t>بنية الشراكات</w:t>
      </w:r>
    </w:p>
    <w:p>
      <w:pPr>
        <w:bidi w:val="1"/>
        <w:spacing w:before="0" w:after="100" w:line="240" w:lineRule="auto"/>
        <w:jc w:val="right"/>
      </w:pPr>
      <w:r>
        <w:rPr>
          <w:rFonts w:ascii="Arial" w:hAnsi="Arial" w:cs="Arial"/>
          <w:b/>
          <w:color w:val="18312D"/>
          <w:sz w:val="27"/>
          <w:rtl w:val="1"/>
        </w:rPr>
        <w:t>الشريك يضيف أصلًا تحريريًا أو وصولًا أو تمويلًا — لا اسمًا فقط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082"/>
        <w:gridCol w:w="4110"/>
      </w:tblGrid>
      <w:tr>
        <w:tc>
          <w:tcPr>
            <w:tcW w:type="dxa" w:w="3459"/>
            <w:shd w:fill="1F5B4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5"/>
                <w:rtl w:val="1"/>
              </w:rPr>
              <w:t>المسار</w:t>
            </w:r>
          </w:p>
        </w:tc>
        <w:tc>
          <w:tcPr>
            <w:tcW w:type="dxa" w:w="3459"/>
            <w:shd w:fill="1F5B4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5"/>
                <w:rtl w:val="1"/>
              </w:rPr>
              <w:t>شركاء محتملون</w:t>
            </w:r>
          </w:p>
        </w:tc>
        <w:tc>
          <w:tcPr>
            <w:tcW w:type="dxa" w:w="3459"/>
            <w:shd w:fill="1F5B4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5"/>
                <w:rtl w:val="1"/>
              </w:rPr>
              <w:t>المنتج المشترك المطلوب</w:t>
            </w:r>
          </w:p>
        </w:tc>
      </w:tr>
      <w:tr>
        <w:tc>
          <w:tcPr>
            <w:tcW w:type="dxa" w:w="3459"/>
            <w:shd w:fill="F8F5ED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5" w:lineRule="auto"/>
              <w:jc w:val="right"/>
            </w:pPr>
            <w:r>
              <w:rPr>
                <w:rFonts w:ascii="Arial" w:hAnsi="Arial" w:cs="Arial"/>
                <w:b/>
                <w:color w:val="18312D"/>
                <w:sz w:val="14"/>
                <w:rtl w:val="1"/>
              </w:rPr>
              <w:t>معرفة وبيانات</w:t>
            </w:r>
          </w:p>
        </w:tc>
        <w:tc>
          <w:tcPr>
            <w:tcW w:type="dxa" w:w="3459"/>
            <w:shd w:fill="F8F5ED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5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4"/>
                <w:rtl w:val="1"/>
              </w:rPr>
              <w:t>جامعات، باحثون، مراقبو طيور، منصات علم مواطن.</w:t>
            </w:r>
          </w:p>
        </w:tc>
        <w:tc>
          <w:tcPr>
            <w:tcW w:type="dxa" w:w="3459"/>
            <w:shd w:fill="F8F5ED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5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4"/>
                <w:rtl w:val="1"/>
              </w:rPr>
              <w:t>قاعدة خبراء، تدقيق أنواع، موجزات وخرائط موسمية.</w:t>
            </w:r>
          </w:p>
        </w:tc>
      </w:tr>
      <w:tr>
        <w:tc>
          <w:tcPr>
            <w:tcW w:type="dxa" w:w="3459"/>
            <w:shd w:fill="F1EEE5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5" w:lineRule="auto"/>
              <w:jc w:val="right"/>
            </w:pPr>
            <w:r>
              <w:rPr>
                <w:rFonts w:ascii="Arial" w:hAnsi="Arial" w:cs="Arial"/>
                <w:b/>
                <w:color w:val="18312D"/>
                <w:sz w:val="14"/>
                <w:rtl w:val="1"/>
              </w:rPr>
              <w:t>ميدان وتطبيق</w:t>
            </w:r>
          </w:p>
        </w:tc>
        <w:tc>
          <w:tcPr>
            <w:tcW w:type="dxa" w:w="3459"/>
            <w:shd w:fill="F1EEE5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5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4"/>
                <w:rtl w:val="1"/>
              </w:rPr>
              <w:t>وزارة البيئة، قوى الأمن، بلديات، APU، CABS، SPNL.</w:t>
            </w:r>
          </w:p>
        </w:tc>
        <w:tc>
          <w:tcPr>
            <w:tcW w:type="dxa" w:w="3459"/>
            <w:shd w:fill="F1EEE5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5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4"/>
                <w:rtl w:val="1"/>
              </w:rPr>
              <w:t>بروتوكول بلاغ موثّق، وصول ميداني، وشرح إجراءات القانون.</w:t>
            </w:r>
          </w:p>
        </w:tc>
      </w:tr>
      <w:tr>
        <w:tc>
          <w:tcPr>
            <w:tcW w:type="dxa" w:w="3459"/>
            <w:shd w:fill="F8F5ED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5" w:lineRule="auto"/>
              <w:jc w:val="right"/>
            </w:pPr>
            <w:r>
              <w:rPr>
                <w:rFonts w:ascii="Arial" w:hAnsi="Arial" w:cs="Arial"/>
                <w:b/>
                <w:color w:val="18312D"/>
                <w:sz w:val="14"/>
                <w:rtl w:val="1"/>
              </w:rPr>
              <w:t>إقليمي ودولي</w:t>
            </w:r>
          </w:p>
        </w:tc>
        <w:tc>
          <w:tcPr>
            <w:tcW w:type="dxa" w:w="3459"/>
            <w:shd w:fill="F8F5ED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5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4"/>
                <w:rtl w:val="1"/>
              </w:rPr>
              <w:t>CMS/MIKT، Raptors MOU، BirdLife، FACE وشبكات المسارات.</w:t>
            </w:r>
          </w:p>
        </w:tc>
        <w:tc>
          <w:tcPr>
            <w:tcW w:type="dxa" w:w="3459"/>
            <w:shd w:fill="F8F5ED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5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4"/>
                <w:rtl w:val="1"/>
              </w:rPr>
              <w:t>تعريب أدلة، تبادل بيانات، وملف إقليمي سنوي.</w:t>
            </w:r>
          </w:p>
        </w:tc>
      </w:tr>
      <w:tr>
        <w:tc>
          <w:tcPr>
            <w:tcW w:type="dxa" w:w="3459"/>
            <w:shd w:fill="F1EEE5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5" w:lineRule="auto"/>
              <w:jc w:val="right"/>
            </w:pPr>
            <w:r>
              <w:rPr>
                <w:rFonts w:ascii="Arial" w:hAnsi="Arial" w:cs="Arial"/>
                <w:b/>
                <w:color w:val="18312D"/>
                <w:sz w:val="14"/>
                <w:rtl w:val="1"/>
              </w:rPr>
              <w:t>تمويل وتوزيع</w:t>
            </w:r>
          </w:p>
        </w:tc>
        <w:tc>
          <w:tcPr>
            <w:tcW w:type="dxa" w:w="3459"/>
            <w:shd w:fill="F1EEE5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5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4"/>
                <w:rtl w:val="1"/>
              </w:rPr>
              <w:t>اتحاد أوروبي، مؤسسات ومانحون، جامعات، رعاة مسؤولون.</w:t>
            </w:r>
          </w:p>
        </w:tc>
        <w:tc>
          <w:tcPr>
            <w:tcW w:type="dxa" w:w="3459"/>
            <w:shd w:fill="F1EEE5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5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4"/>
                <w:rtl w:val="1"/>
              </w:rPr>
              <w:t>تمويل منتجات محددة مع فصل كامل بين التمويل والتحرير.</w:t>
            </w:r>
          </w:p>
        </w:tc>
      </w:tr>
    </w:tbl>
    <w:p>
      <w:pPr>
        <w:bidi w:val="1"/>
        <w:spacing w:before="100" w:after="0" w:line="252" w:lineRule="auto"/>
        <w:jc w:val="right"/>
      </w:pPr>
      <w:r>
        <w:rPr>
          <w:rFonts w:ascii="Arial" w:hAnsi="Arial" w:cs="Arial"/>
          <w:b/>
          <w:color w:val="8C3A2A"/>
          <w:sz w:val="16"/>
          <w:rtl w:val="1"/>
        </w:rPr>
        <w:t xml:space="preserve">شرط غير قابل للتفاوض: </w:t>
      </w:r>
      <w:r>
        <w:rPr>
          <w:rFonts w:ascii="Arial" w:hAnsi="Arial" w:cs="Arial"/>
          <w:b w:val="0"/>
          <w:color w:val="18312D"/>
          <w:sz w:val="16"/>
          <w:rtl w:val="1"/>
        </w:rPr>
        <w:t>وثيقة تضارب مصالح، ووسم واضح للمحتوى الممول، وحق المجلة في النقد والتصحيح حتى مع الشريك.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8787"/>
      </w:tblGrid>
      <w:tr>
        <w:tc>
          <w:tcPr>
            <w:tcW w:type="dxa" w:w="5188"/>
            <w:shd w:fill="1F5B4D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val="single" w:sz="8" w:color="C49A4A"/>
            </w:tcBorders>
            <w:vAlign w:val="center"/>
          </w:tcPr>
          <w:p>
            <w:pPr>
              <w:bidi w:val="1"/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34"/>
                <w:rtl w:val="1"/>
              </w:rPr>
              <w:t>03</w:t>
            </w:r>
          </w:p>
        </w:tc>
        <w:tc>
          <w:tcPr>
            <w:tcW w:type="dxa" w:w="5188"/>
            <w:shd w:fill="F8F5ED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bottom w:val="single" w:sz="8" w:color="C49A4A"/>
            </w:tcBorders>
            <w:vAlign w:val="center"/>
          </w:tcPr>
          <w:p>
            <w:pPr>
              <w:bidi w:val="1"/>
              <w:spacing w:before="0" w:after="20" w:line="240" w:lineRule="auto"/>
              <w:jc w:val="right"/>
            </w:pPr>
            <w:r>
              <w:rPr>
                <w:rFonts w:ascii="Arial" w:hAnsi="Arial" w:cs="Arial"/>
                <w:b/>
                <w:color w:val="C49A4A"/>
                <w:sz w:val="14"/>
                <w:rtl w:val="1"/>
              </w:rPr>
              <w:t>خارطة الطريق</w:t>
              <w:br/>
            </w:r>
            <w:r>
              <w:rPr>
                <w:rFonts w:ascii="Arial" w:hAnsi="Arial" w:cs="Arial"/>
                <w:b/>
                <w:color w:val="18312D"/>
                <w:sz w:val="35"/>
                <w:rtl w:val="1"/>
              </w:rPr>
              <w:t>اثنا عشر شهرًا من الاستعادة إلى المرجعية</w:t>
            </w:r>
            <w:r>
              <w:rPr>
                <w:rFonts w:ascii="Arial" w:hAnsi="Arial" w:cs="Arial"/>
                <w:b w:val="0"/>
                <w:color w:val="5E6864"/>
                <w:sz w:val="16"/>
                <w:rtl w:val="1"/>
              </w:rPr>
              <w:br/>
              <w:t>بوابات قرار تمنع التوسع قبل ثبوت القدرة التحريرية والطلب الجماهيري</w:t>
            </w:r>
          </w:p>
        </w:tc>
      </w:tr>
    </w:tbl>
    <w:p>
      <w:pPr>
        <w:spacing w:after="20"/>
      </w:pPr>
    </w:p>
    <w:p>
      <w:pPr>
        <w:bidi w:val="1"/>
        <w:spacing w:before="0" w:after="80" w:line="240" w:lineRule="auto"/>
        <w:jc w:val="right"/>
      </w:pPr>
      <w:r>
        <w:rPr>
          <w:rFonts w:ascii="Arial" w:hAnsi="Arial" w:cs="Arial"/>
          <w:b/>
          <w:color w:val="C49A4A"/>
          <w:sz w:val="14"/>
          <w:rtl w:val="1"/>
        </w:rPr>
        <w:t>التنفيذ المرحلي</w:t>
      </w:r>
    </w:p>
    <w:p>
      <w:pPr>
        <w:bidi w:val="1"/>
        <w:spacing w:before="0" w:after="100" w:line="240" w:lineRule="auto"/>
        <w:jc w:val="right"/>
      </w:pPr>
      <w:r>
        <w:rPr>
          <w:rFonts w:ascii="Arial" w:hAnsi="Arial" w:cs="Arial"/>
          <w:b/>
          <w:color w:val="18312D"/>
          <w:sz w:val="28"/>
          <w:rtl w:val="1"/>
        </w:rPr>
        <w:t>أربع مراحل بمالِك واضح ونتيجة قابلة للقياس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2778"/>
        <w:gridCol w:w="3146"/>
        <w:gridCol w:w="2920"/>
      </w:tblGrid>
      <w:tr>
        <w:tc>
          <w:tcPr>
            <w:tcW w:type="dxa" w:w="2594"/>
            <w:shd w:fill="1F5B4D"/>
            <w:tcMar>
              <w:top w:w="72" w:type="dxa"/>
              <w:start w:w="80" w:type="dxa"/>
              <w:bottom w:w="72" w:type="dxa"/>
              <w:end w:w="8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5"/>
                <w:rtl w:val="1"/>
              </w:rPr>
              <w:t>المرحلة</w:t>
            </w:r>
          </w:p>
        </w:tc>
        <w:tc>
          <w:tcPr>
            <w:tcW w:type="dxa" w:w="2594"/>
            <w:shd w:fill="1F5B4D"/>
            <w:tcMar>
              <w:top w:w="72" w:type="dxa"/>
              <w:start w:w="80" w:type="dxa"/>
              <w:bottom w:w="72" w:type="dxa"/>
              <w:end w:w="8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5"/>
                <w:rtl w:val="1"/>
              </w:rPr>
              <w:t>الأولوية</w:t>
            </w:r>
          </w:p>
        </w:tc>
        <w:tc>
          <w:tcPr>
            <w:tcW w:type="dxa" w:w="2594"/>
            <w:shd w:fill="1F5B4D"/>
            <w:tcMar>
              <w:top w:w="72" w:type="dxa"/>
              <w:start w:w="80" w:type="dxa"/>
              <w:bottom w:w="72" w:type="dxa"/>
              <w:end w:w="8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5"/>
                <w:rtl w:val="1"/>
              </w:rPr>
              <w:t>التسليمات</w:t>
            </w:r>
          </w:p>
        </w:tc>
        <w:tc>
          <w:tcPr>
            <w:tcW w:type="dxa" w:w="2594"/>
            <w:shd w:fill="1F5B4D"/>
            <w:tcMar>
              <w:top w:w="72" w:type="dxa"/>
              <w:start w:w="80" w:type="dxa"/>
              <w:bottom w:w="72" w:type="dxa"/>
              <w:end w:w="80" w:type="dxa"/>
            </w:tcMar>
          </w:tcPr>
          <w:p>
            <w:pPr>
              <w:bidi w:val="1"/>
              <w:spacing w:before="0" w:after="0" w:line="240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5"/>
                <w:rtl w:val="1"/>
              </w:rPr>
              <w:t>بوابة القرار</w:t>
            </w:r>
          </w:p>
        </w:tc>
      </w:tr>
      <w:tr>
        <w:tc>
          <w:tcPr>
            <w:tcW w:type="dxa" w:w="2594"/>
            <w:shd w:fill="F8F5ED"/>
            <w:tcMar>
              <w:top w:w="68" w:type="dxa"/>
              <w:start w:w="82" w:type="dxa"/>
              <w:bottom w:w="68" w:type="dxa"/>
              <w:end w:w="82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2" w:lineRule="auto"/>
              <w:jc w:val="right"/>
            </w:pPr>
            <w:r>
              <w:rPr>
                <w:rFonts w:ascii="Arial" w:hAnsi="Arial" w:cs="Arial"/>
                <w:b/>
                <w:color w:val="18312D"/>
                <w:sz w:val="14"/>
                <w:rtl w:val="1"/>
              </w:rPr>
              <w:t>0–30 يومًا</w:t>
            </w:r>
          </w:p>
        </w:tc>
        <w:tc>
          <w:tcPr>
            <w:tcW w:type="dxa" w:w="2594"/>
            <w:shd w:fill="F8F5ED"/>
            <w:tcMar>
              <w:top w:w="68" w:type="dxa"/>
              <w:start w:w="82" w:type="dxa"/>
              <w:bottom w:w="68" w:type="dxa"/>
              <w:end w:w="82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2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4"/>
                <w:rtl w:val="1"/>
              </w:rPr>
              <w:t>تثبيت الهوية والحَوكمة</w:t>
            </w:r>
          </w:p>
        </w:tc>
        <w:tc>
          <w:tcPr>
            <w:tcW w:type="dxa" w:w="2594"/>
            <w:shd w:fill="F8F5ED"/>
            <w:tcMar>
              <w:top w:w="68" w:type="dxa"/>
              <w:start w:w="82" w:type="dxa"/>
              <w:bottom w:w="68" w:type="dxa"/>
              <w:end w:w="82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2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4"/>
                <w:rtl w:val="1"/>
              </w:rPr>
              <w:t>سياسة تحرير وتصحيح؛ تنظيف الواجهة والأرشيف؛ قوالب؛ تقويم 8 أسابيع؛ 10 مواد مرجعية.</w:t>
            </w:r>
          </w:p>
        </w:tc>
        <w:tc>
          <w:tcPr>
            <w:tcW w:type="dxa" w:w="2594"/>
            <w:shd w:fill="F8F5ED"/>
            <w:tcMar>
              <w:top w:w="68" w:type="dxa"/>
              <w:start w:w="82" w:type="dxa"/>
              <w:bottom w:w="68" w:type="dxa"/>
              <w:end w:w="82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2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4"/>
                <w:rtl w:val="1"/>
              </w:rPr>
              <w:t>لا إطلاق قبل تعيين مسؤول التحرير واعتماد السياسات.</w:t>
            </w:r>
          </w:p>
        </w:tc>
      </w:tr>
      <w:tr>
        <w:tc>
          <w:tcPr>
            <w:tcW w:type="dxa" w:w="2594"/>
            <w:shd w:fill="F1EEE5"/>
            <w:tcMar>
              <w:top w:w="68" w:type="dxa"/>
              <w:start w:w="82" w:type="dxa"/>
              <w:bottom w:w="68" w:type="dxa"/>
              <w:end w:w="82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2" w:lineRule="auto"/>
              <w:jc w:val="right"/>
            </w:pPr>
            <w:r>
              <w:rPr>
                <w:rFonts w:ascii="Arial" w:hAnsi="Arial" w:cs="Arial"/>
                <w:b/>
                <w:color w:val="18312D"/>
                <w:sz w:val="14"/>
                <w:rtl w:val="1"/>
              </w:rPr>
              <w:t>31–90 يومًا</w:t>
            </w:r>
          </w:p>
        </w:tc>
        <w:tc>
          <w:tcPr>
            <w:tcW w:type="dxa" w:w="2594"/>
            <w:shd w:fill="F1EEE5"/>
            <w:tcMar>
              <w:top w:w="68" w:type="dxa"/>
              <w:start w:w="82" w:type="dxa"/>
              <w:bottom w:w="68" w:type="dxa"/>
              <w:end w:w="82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2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4"/>
                <w:rtl w:val="1"/>
              </w:rPr>
              <w:t>إطلاق تجريبي منضبط</w:t>
            </w:r>
          </w:p>
        </w:tc>
        <w:tc>
          <w:tcPr>
            <w:tcW w:type="dxa" w:w="2594"/>
            <w:shd w:fill="F1EEE5"/>
            <w:tcMar>
              <w:top w:w="68" w:type="dxa"/>
              <w:start w:w="82" w:type="dxa"/>
              <w:bottom w:w="68" w:type="dxa"/>
              <w:end w:w="82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2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4"/>
                <w:rtl w:val="1"/>
              </w:rPr>
              <w:t>3 مواد + 3 فيديوهات أسبوعيًا؛ نشرة؛ قياس خط أساس؛ شريكان معرفيان؛ اختبار 3 سلاسل.</w:t>
            </w:r>
          </w:p>
        </w:tc>
        <w:tc>
          <w:tcPr>
            <w:tcW w:type="dxa" w:w="2594"/>
            <w:shd w:fill="F1EEE5"/>
            <w:tcMar>
              <w:top w:w="68" w:type="dxa"/>
              <w:start w:w="82" w:type="dxa"/>
              <w:bottom w:w="68" w:type="dxa"/>
              <w:end w:w="82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2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4"/>
                <w:rtl w:val="1"/>
              </w:rPr>
              <w:t>استمرار ≥90% وظهور سلسلتين تتفوقان على المتوسط.</w:t>
            </w:r>
          </w:p>
        </w:tc>
      </w:tr>
      <w:tr>
        <w:tc>
          <w:tcPr>
            <w:tcW w:type="dxa" w:w="2594"/>
            <w:shd w:fill="F8F5ED"/>
            <w:tcMar>
              <w:top w:w="68" w:type="dxa"/>
              <w:start w:w="82" w:type="dxa"/>
              <w:bottom w:w="68" w:type="dxa"/>
              <w:end w:w="82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2" w:lineRule="auto"/>
              <w:jc w:val="right"/>
            </w:pPr>
            <w:r>
              <w:rPr>
                <w:rFonts w:ascii="Arial" w:hAnsi="Arial" w:cs="Arial"/>
                <w:b/>
                <w:color w:val="18312D"/>
                <w:sz w:val="14"/>
                <w:rtl w:val="1"/>
              </w:rPr>
              <w:t>الشهر 4–6</w:t>
            </w:r>
          </w:p>
        </w:tc>
        <w:tc>
          <w:tcPr>
            <w:tcW w:type="dxa" w:w="2594"/>
            <w:shd w:fill="F8F5ED"/>
            <w:tcMar>
              <w:top w:w="68" w:type="dxa"/>
              <w:start w:w="82" w:type="dxa"/>
              <w:bottom w:w="68" w:type="dxa"/>
              <w:end w:w="82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2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4"/>
                <w:rtl w:val="1"/>
              </w:rPr>
              <w:t>بناء شبكة وأصل بيانات</w:t>
            </w:r>
          </w:p>
        </w:tc>
        <w:tc>
          <w:tcPr>
            <w:tcW w:type="dxa" w:w="2594"/>
            <w:shd w:fill="F8F5ED"/>
            <w:tcMar>
              <w:top w:w="68" w:type="dxa"/>
              <w:start w:w="82" w:type="dxa"/>
              <w:bottom w:w="68" w:type="dxa"/>
              <w:end w:w="82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2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4"/>
                <w:rtl w:val="1"/>
              </w:rPr>
              <w:t>مكتب هجرة موسمي؛ 6 مساهمين ميدانيين؛ موجز بيانات؛ حزمة رعاية؛ 3 مذكرات تعاون.</w:t>
            </w:r>
          </w:p>
        </w:tc>
        <w:tc>
          <w:tcPr>
            <w:tcW w:type="dxa" w:w="2594"/>
            <w:shd w:fill="F8F5ED"/>
            <w:tcMar>
              <w:top w:w="68" w:type="dxa"/>
              <w:start w:w="82" w:type="dxa"/>
              <w:bottom w:w="68" w:type="dxa"/>
              <w:end w:w="82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2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4"/>
                <w:rtl w:val="1"/>
              </w:rPr>
              <w:t>لا توسع إقليمي قبل انتظام التحقق والتحرير.</w:t>
            </w:r>
          </w:p>
        </w:tc>
      </w:tr>
      <w:tr>
        <w:tc>
          <w:tcPr>
            <w:tcW w:type="dxa" w:w="2594"/>
            <w:shd w:fill="F1EEE5"/>
            <w:tcMar>
              <w:top w:w="68" w:type="dxa"/>
              <w:start w:w="82" w:type="dxa"/>
              <w:bottom w:w="68" w:type="dxa"/>
              <w:end w:w="82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2" w:lineRule="auto"/>
              <w:jc w:val="right"/>
            </w:pPr>
            <w:r>
              <w:rPr>
                <w:rFonts w:ascii="Arial" w:hAnsi="Arial" w:cs="Arial"/>
                <w:b/>
                <w:color w:val="18312D"/>
                <w:sz w:val="14"/>
                <w:rtl w:val="1"/>
              </w:rPr>
              <w:t>الشهر 7–12</w:t>
            </w:r>
          </w:p>
        </w:tc>
        <w:tc>
          <w:tcPr>
            <w:tcW w:type="dxa" w:w="2594"/>
            <w:shd w:fill="F1EEE5"/>
            <w:tcMar>
              <w:top w:w="68" w:type="dxa"/>
              <w:start w:w="82" w:type="dxa"/>
              <w:bottom w:w="68" w:type="dxa"/>
              <w:end w:w="82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2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4"/>
                <w:rtl w:val="1"/>
              </w:rPr>
              <w:t>مرجعية عربية واستدامة</w:t>
            </w:r>
          </w:p>
        </w:tc>
        <w:tc>
          <w:tcPr>
            <w:tcW w:type="dxa" w:w="2594"/>
            <w:shd w:fill="F1EEE5"/>
            <w:tcMar>
              <w:top w:w="68" w:type="dxa"/>
              <w:start w:w="82" w:type="dxa"/>
              <w:bottom w:w="68" w:type="dxa"/>
              <w:end w:w="82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2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4"/>
                <w:rtl w:val="1"/>
              </w:rPr>
              <w:t>ملف إقليمي سنوي؛ خريطة تفاعلية؛ فعالية عامة؛ منتجات تدريب؛ عضوية/رعاية مسؤولة.</w:t>
            </w:r>
          </w:p>
        </w:tc>
        <w:tc>
          <w:tcPr>
            <w:tcW w:type="dxa" w:w="2594"/>
            <w:shd w:fill="F1EEE5"/>
            <w:tcMar>
              <w:top w:w="68" w:type="dxa"/>
              <w:start w:w="82" w:type="dxa"/>
              <w:bottom w:w="68" w:type="dxa"/>
              <w:end w:w="82" w:type="dxa"/>
            </w:tcMar>
            <w:tcBorders>
              <w:bottom w:val="single" w:sz="3" w:color="D8D2C3"/>
            </w:tcBorders>
          </w:tcPr>
          <w:p>
            <w:pPr>
              <w:bidi w:val="1"/>
              <w:spacing w:before="0" w:after="0" w:line="242" w:lineRule="auto"/>
              <w:jc w:val="right"/>
            </w:pPr>
            <w:r>
              <w:rPr>
                <w:rFonts w:ascii="Arial" w:hAnsi="Arial" w:cs="Arial"/>
                <w:b w:val="0"/>
                <w:color w:val="18312D"/>
                <w:sz w:val="14"/>
                <w:rtl w:val="1"/>
              </w:rPr>
              <w:t>توسّع وفق الإيراد والجودة لا وفق عدد المنشورات.</w:t>
            </w:r>
          </w:p>
        </w:tc>
      </w:tr>
    </w:tbl>
    <w:p>
      <w:pPr>
        <w:bidi w:val="1"/>
        <w:spacing w:before="0" w:after="80" w:line="240" w:lineRule="auto"/>
        <w:jc w:val="right"/>
      </w:pPr>
      <w:r>
        <w:rPr>
          <w:rFonts w:ascii="Arial" w:hAnsi="Arial" w:cs="Arial"/>
          <w:b/>
          <w:color w:val="C49A4A"/>
          <w:sz w:val="14"/>
          <w:rtl w:val="1"/>
        </w:rPr>
        <w:t>لوحة القياس</w:t>
      </w:r>
    </w:p>
    <w:p>
      <w:pPr>
        <w:bidi w:val="1"/>
        <w:spacing w:before="0" w:after="100" w:line="240" w:lineRule="auto"/>
        <w:jc w:val="right"/>
      </w:pPr>
      <w:r>
        <w:rPr>
          <w:rFonts w:ascii="Arial" w:hAnsi="Arial" w:cs="Arial"/>
          <w:b/>
          <w:color w:val="18312D"/>
          <w:sz w:val="27"/>
          <w:rtl w:val="1"/>
        </w:rPr>
        <w:t>مؤشرات السنة الأولى المقترحة للمراجعة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4"/>
        <w:gridCol w:w="2024"/>
        <w:gridCol w:w="2024"/>
        <w:gridCol w:w="2024"/>
        <w:gridCol w:w="2024"/>
      </w:tblGrid>
      <w:tr>
        <w:tc>
          <w:tcPr>
            <w:tcW w:type="dxa" w:w="2075"/>
            <w:shd w:fill="18312D"/>
            <w:tcMar>
              <w:top w:w="105" w:type="dxa"/>
              <w:start w:w="75" w:type="dxa"/>
              <w:bottom w:w="105" w:type="dxa"/>
              <w:end w:w="75" w:type="dxa"/>
            </w:tcMar>
          </w:tcPr>
          <w:p>
            <w:pPr>
              <w:bidi w:val="1"/>
              <w:spacing w:before="0" w:after="40" w:line="240" w:lineRule="auto"/>
              <w:jc w:val="center"/>
            </w:pPr>
            <w:r>
              <w:rPr>
                <w:rFonts w:ascii="Arial" w:hAnsi="Arial" w:cs="Arial"/>
                <w:b/>
                <w:color w:val="C49A4A"/>
                <w:sz w:val="27"/>
                <w:rtl w:val="1"/>
              </w:rPr>
              <w:t>≥90%</w:t>
            </w:r>
          </w:p>
          <w:p>
            <w:pPr>
              <w:bidi w:val="1"/>
              <w:spacing w:before="0" w:after="0" w:line="245" w:lineRule="auto"/>
              <w:jc w:val="center"/>
            </w:pPr>
            <w:r>
              <w:rPr>
                <w:rFonts w:ascii="Arial" w:hAnsi="Arial" w:cs="Arial"/>
                <w:b w:val="0"/>
                <w:color w:val="FFFFFF"/>
                <w:sz w:val="13"/>
                <w:rtl w:val="1"/>
              </w:rPr>
              <w:t>التزام التقويم</w:t>
            </w:r>
          </w:p>
        </w:tc>
        <w:tc>
          <w:tcPr>
            <w:tcW w:type="dxa" w:w="2075"/>
            <w:shd w:fill="1F5B4D"/>
            <w:tcMar>
              <w:top w:w="105" w:type="dxa"/>
              <w:start w:w="75" w:type="dxa"/>
              <w:bottom w:w="105" w:type="dxa"/>
              <w:end w:w="75" w:type="dxa"/>
            </w:tcMar>
          </w:tcPr>
          <w:p>
            <w:pPr>
              <w:bidi w:val="1"/>
              <w:spacing w:before="0" w:after="40" w:line="240" w:lineRule="auto"/>
              <w:jc w:val="center"/>
            </w:pPr>
            <w:r>
              <w:rPr>
                <w:rFonts w:ascii="Arial" w:hAnsi="Arial" w:cs="Arial"/>
                <w:b/>
                <w:color w:val="C49A4A"/>
                <w:sz w:val="27"/>
                <w:rtl w:val="1"/>
              </w:rPr>
              <w:t>12 + 12</w:t>
            </w:r>
          </w:p>
          <w:p>
            <w:pPr>
              <w:bidi w:val="1"/>
              <w:spacing w:before="0" w:after="0" w:line="245" w:lineRule="auto"/>
              <w:jc w:val="center"/>
            </w:pPr>
            <w:r>
              <w:rPr>
                <w:rFonts w:ascii="Arial" w:hAnsi="Arial" w:cs="Arial"/>
                <w:b w:val="0"/>
                <w:color w:val="FFFFFF"/>
                <w:sz w:val="13"/>
                <w:rtl w:val="1"/>
              </w:rPr>
              <w:t>مادة وفيديو/شهر</w:t>
            </w:r>
          </w:p>
        </w:tc>
        <w:tc>
          <w:tcPr>
            <w:tcW w:type="dxa" w:w="2075"/>
            <w:shd w:fill="18312D"/>
            <w:tcMar>
              <w:top w:w="105" w:type="dxa"/>
              <w:start w:w="75" w:type="dxa"/>
              <w:bottom w:w="105" w:type="dxa"/>
              <w:end w:w="75" w:type="dxa"/>
            </w:tcMar>
          </w:tcPr>
          <w:p>
            <w:pPr>
              <w:bidi w:val="1"/>
              <w:spacing w:before="0" w:after="40" w:line="240" w:lineRule="auto"/>
              <w:jc w:val="center"/>
            </w:pPr>
            <w:r>
              <w:rPr>
                <w:rFonts w:ascii="Arial" w:hAnsi="Arial" w:cs="Arial"/>
                <w:b/>
                <w:color w:val="C49A4A"/>
                <w:sz w:val="27"/>
                <w:rtl w:val="1"/>
              </w:rPr>
              <w:t>≥30%</w:t>
            </w:r>
          </w:p>
          <w:p>
            <w:pPr>
              <w:bidi w:val="1"/>
              <w:spacing w:before="0" w:after="0" w:line="245" w:lineRule="auto"/>
              <w:jc w:val="center"/>
            </w:pPr>
            <w:r>
              <w:rPr>
                <w:rFonts w:ascii="Arial" w:hAnsi="Arial" w:cs="Arial"/>
                <w:b w:val="0"/>
                <w:color w:val="FFFFFF"/>
                <w:sz w:val="13"/>
                <w:rtl w:val="1"/>
              </w:rPr>
              <w:t>زوار عائدون بنهاية 6 أشهر</w:t>
            </w:r>
          </w:p>
        </w:tc>
        <w:tc>
          <w:tcPr>
            <w:tcW w:type="dxa" w:w="2075"/>
            <w:shd w:fill="1F5B4D"/>
            <w:tcMar>
              <w:top w:w="105" w:type="dxa"/>
              <w:start w:w="75" w:type="dxa"/>
              <w:bottom w:w="105" w:type="dxa"/>
              <w:end w:w="75" w:type="dxa"/>
            </w:tcMar>
          </w:tcPr>
          <w:p>
            <w:pPr>
              <w:bidi w:val="1"/>
              <w:spacing w:before="0" w:after="40" w:line="240" w:lineRule="auto"/>
              <w:jc w:val="center"/>
            </w:pPr>
            <w:r>
              <w:rPr>
                <w:rFonts w:ascii="Arial" w:hAnsi="Arial" w:cs="Arial"/>
                <w:b/>
                <w:color w:val="C49A4A"/>
                <w:sz w:val="27"/>
                <w:rtl w:val="1"/>
              </w:rPr>
              <w:t>3</w:t>
            </w:r>
          </w:p>
          <w:p>
            <w:pPr>
              <w:bidi w:val="1"/>
              <w:spacing w:before="0" w:after="0" w:line="245" w:lineRule="auto"/>
              <w:jc w:val="center"/>
            </w:pPr>
            <w:r>
              <w:rPr>
                <w:rFonts w:ascii="Arial" w:hAnsi="Arial" w:cs="Arial"/>
                <w:b w:val="0"/>
                <w:color w:val="FFFFFF"/>
                <w:sz w:val="13"/>
                <w:rtl w:val="1"/>
              </w:rPr>
              <w:t>شراكات منتجة خلال 6 أشهر</w:t>
            </w:r>
          </w:p>
        </w:tc>
        <w:tc>
          <w:tcPr>
            <w:tcW w:type="dxa" w:w="2075"/>
            <w:shd w:fill="18312D"/>
            <w:tcMar>
              <w:top w:w="105" w:type="dxa"/>
              <w:start w:w="75" w:type="dxa"/>
              <w:bottom w:w="105" w:type="dxa"/>
              <w:end w:w="75" w:type="dxa"/>
            </w:tcMar>
          </w:tcPr>
          <w:p>
            <w:pPr>
              <w:bidi w:val="1"/>
              <w:spacing w:before="0" w:after="40" w:line="240" w:lineRule="auto"/>
              <w:jc w:val="center"/>
            </w:pPr>
            <w:r>
              <w:rPr>
                <w:rFonts w:ascii="Arial" w:hAnsi="Arial" w:cs="Arial"/>
                <w:b/>
                <w:color w:val="C49A4A"/>
                <w:sz w:val="27"/>
                <w:rtl w:val="1"/>
              </w:rPr>
              <w:t>40%</w:t>
            </w:r>
          </w:p>
          <w:p>
            <w:pPr>
              <w:bidi w:val="1"/>
              <w:spacing w:before="0" w:after="0" w:line="245" w:lineRule="auto"/>
              <w:jc w:val="center"/>
            </w:pPr>
            <w:r>
              <w:rPr>
                <w:rFonts w:ascii="Arial" w:hAnsi="Arial" w:cs="Arial"/>
                <w:b w:val="0"/>
                <w:color w:val="FFFFFF"/>
                <w:sz w:val="13"/>
                <w:rtl w:val="1"/>
              </w:rPr>
              <w:t>تغطية التكاليف المتكررة بنهاية السنة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188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8" w:color="C49A4A"/>
            </w:tcBorders>
            <w:shd w:fill="F8F5ED"/>
          </w:tcPr>
          <w:p/>
          <w:p>
            <w:pPr>
              <w:bidi w:val="1"/>
              <w:spacing w:before="0" w:after="80" w:line="240" w:lineRule="auto"/>
              <w:jc w:val="right"/>
            </w:pPr>
            <w:r>
              <w:rPr>
                <w:rFonts w:ascii="Arial" w:hAnsi="Arial" w:cs="Arial"/>
                <w:b/>
                <w:color w:val="C49A4A"/>
                <w:sz w:val="14"/>
                <w:rtl w:val="1"/>
              </w:rPr>
              <w:t>الحَوكمة الدنيا اللازمة</w:t>
            </w:r>
          </w:p>
          <w:p>
            <w:pPr>
              <w:bidi w:val="1"/>
              <w:spacing w:before="0" w:after="24" w:line="245" w:lineRule="auto"/>
              <w:ind w:right="85" w:hanging="85"/>
              <w:jc w:val="right"/>
            </w:pPr>
            <w:r>
              <w:rPr>
                <w:rFonts w:ascii="Arial" w:hAnsi="Arial" w:cs="Arial"/>
                <w:b w:val="0"/>
                <w:color w:val="18312D"/>
                <w:sz w:val="15"/>
                <w:rtl w:val="1"/>
              </w:rPr>
              <w:t>•  اجتماع تحرير أسبوعي ولوحة أداء شهرية.</w:t>
            </w:r>
          </w:p>
          <w:p>
            <w:pPr>
              <w:bidi w:val="1"/>
              <w:spacing w:before="0" w:after="24" w:line="245" w:lineRule="auto"/>
              <w:ind w:right="85" w:hanging="85"/>
              <w:jc w:val="right"/>
            </w:pPr>
            <w:r>
              <w:rPr>
                <w:rFonts w:ascii="Arial" w:hAnsi="Arial" w:cs="Arial"/>
                <w:b w:val="0"/>
                <w:color w:val="18312D"/>
                <w:sz w:val="15"/>
                <w:rtl w:val="1"/>
              </w:rPr>
              <w:t>•  تدقيق علمي/قانوني بحسب نوع المادة.</w:t>
            </w:r>
          </w:p>
          <w:p>
            <w:pPr>
              <w:bidi w:val="1"/>
              <w:spacing w:before="0" w:after="24" w:line="245" w:lineRule="auto"/>
              <w:ind w:right="85" w:hanging="85"/>
              <w:jc w:val="right"/>
            </w:pPr>
            <w:r>
              <w:rPr>
                <w:rFonts w:ascii="Arial" w:hAnsi="Arial" w:cs="Arial"/>
                <w:b w:val="0"/>
                <w:color w:val="18312D"/>
                <w:sz w:val="15"/>
                <w:rtl w:val="1"/>
              </w:rPr>
              <w:t>•  تصحيح معلن خلال 48 ساعة من ثبوت الخطأ.</w:t>
            </w:r>
          </w:p>
          <w:p>
            <w:pPr>
              <w:bidi w:val="1"/>
              <w:spacing w:before="0" w:after="24" w:line="245" w:lineRule="auto"/>
              <w:ind w:right="85" w:hanging="85"/>
              <w:jc w:val="right"/>
            </w:pPr>
            <w:r>
              <w:rPr>
                <w:rFonts w:ascii="Arial" w:hAnsi="Arial" w:cs="Arial"/>
                <w:b w:val="0"/>
                <w:color w:val="18312D"/>
                <w:sz w:val="15"/>
                <w:rtl w:val="1"/>
              </w:rPr>
              <w:t>•  مراجعة فصلية للاستمرار أو الإيقاف أو التوسع.</w:t>
            </w:r>
          </w:p>
        </w:tc>
        <w:tc>
          <w:tcPr>
            <w:tcW w:type="dxa" w:w="5188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8" w:color="C49A4A"/>
            </w:tcBorders>
            <w:shd w:fill="F8F5ED"/>
          </w:tcPr>
          <w:p/>
          <w:p>
            <w:pPr>
              <w:bidi w:val="1"/>
              <w:spacing w:before="0" w:after="80" w:line="240" w:lineRule="auto"/>
              <w:jc w:val="right"/>
            </w:pPr>
            <w:r>
              <w:rPr>
                <w:rFonts w:ascii="Arial" w:hAnsi="Arial" w:cs="Arial"/>
                <w:b/>
                <w:color w:val="C49A4A"/>
                <w:sz w:val="14"/>
                <w:rtl w:val="1"/>
              </w:rPr>
              <w:t>القرارات المطلوبة عند المراجعة</w:t>
            </w:r>
          </w:p>
          <w:p>
            <w:pPr>
              <w:bidi w:val="1"/>
              <w:spacing w:before="0" w:after="24" w:line="245" w:lineRule="auto"/>
              <w:ind w:right="85" w:hanging="85"/>
              <w:jc w:val="right"/>
            </w:pPr>
            <w:r>
              <w:rPr>
                <w:rFonts w:ascii="Arial" w:hAnsi="Arial" w:cs="Arial"/>
                <w:b w:val="0"/>
                <w:color w:val="18312D"/>
                <w:sz w:val="15"/>
                <w:rtl w:val="1"/>
              </w:rPr>
              <w:t>•  اعتماد الرؤية والتموضع كمنصة تحريرية مستقلة.</w:t>
            </w:r>
          </w:p>
          <w:p>
            <w:pPr>
              <w:bidi w:val="1"/>
              <w:spacing w:before="0" w:after="24" w:line="245" w:lineRule="auto"/>
              <w:ind w:right="85" w:hanging="85"/>
              <w:jc w:val="right"/>
            </w:pPr>
            <w:r>
              <w:rPr>
                <w:rFonts w:ascii="Arial" w:hAnsi="Arial" w:cs="Arial"/>
                <w:b w:val="0"/>
                <w:color w:val="18312D"/>
                <w:sz w:val="15"/>
                <w:rtl w:val="1"/>
              </w:rPr>
              <w:t>•  اعتماد أعمدة المحتوى الستة وتجربة 90 يومًا.</w:t>
            </w:r>
          </w:p>
          <w:p>
            <w:pPr>
              <w:bidi w:val="1"/>
              <w:spacing w:before="0" w:after="24" w:line="245" w:lineRule="auto"/>
              <w:ind w:right="85" w:hanging="85"/>
              <w:jc w:val="right"/>
            </w:pPr>
            <w:r>
              <w:rPr>
                <w:rFonts w:ascii="Arial" w:hAnsi="Arial" w:cs="Arial"/>
                <w:b w:val="0"/>
                <w:color w:val="18312D"/>
                <w:sz w:val="15"/>
                <w:rtl w:val="1"/>
              </w:rPr>
              <w:t>•  تسمية مسؤول تحرير وصاحب قرار نهائي واحد.</w:t>
            </w:r>
          </w:p>
          <w:p>
            <w:pPr>
              <w:bidi w:val="1"/>
              <w:spacing w:before="0" w:after="24" w:line="245" w:lineRule="auto"/>
              <w:ind w:right="85" w:hanging="85"/>
              <w:jc w:val="right"/>
            </w:pPr>
            <w:r>
              <w:rPr>
                <w:rFonts w:ascii="Arial" w:hAnsi="Arial" w:cs="Arial"/>
                <w:b w:val="0"/>
                <w:color w:val="18312D"/>
                <w:sz w:val="15"/>
                <w:rtl w:val="1"/>
              </w:rPr>
              <w:t>•  اعتماد سياسة التمويل والتضارب قبل أي رعاية.</w:t>
            </w:r>
          </w:p>
        </w:tc>
      </w:tr>
    </w:tbl>
    <w:p>
      <w:pPr>
        <w:bidi w:val="1"/>
        <w:spacing w:before="0" w:after="80" w:line="240" w:lineRule="auto"/>
        <w:jc w:val="right"/>
      </w:pPr>
      <w:r>
        <w:rPr>
          <w:rFonts w:ascii="Arial" w:hAnsi="Arial" w:cs="Arial"/>
          <w:b/>
          <w:color w:val="C49A4A"/>
          <w:sz w:val="14"/>
          <w:rtl w:val="1"/>
        </w:rPr>
        <w:t>مرتكزات التحقق — 27 آب 2026</w:t>
      </w:r>
    </w:p>
    <w:p>
      <w:pPr>
        <w:bidi w:val="1"/>
        <w:spacing w:before="0" w:after="0" w:line="252" w:lineRule="auto"/>
        <w:jc w:val="right"/>
      </w:pPr>
      <w:r>
        <w:rPr>
          <w:rFonts w:ascii="Arial" w:hAnsi="Arial" w:cs="Arial"/>
          <w:b w:val="0"/>
          <w:color w:val="5E6864"/>
          <w:sz w:val="14"/>
          <w:rtl w:val="1"/>
        </w:rPr>
        <w:t xml:space="preserve">الموقع الحالي لمجلة صيد  •  </w:t>
      </w:r>
      <w:hyperlink r:id="rId11">
        <w:r>
          <w:rPr>
            <w:color w:val="1F5B4D"/>
            <w:sz w:val="14"/>
            <w:szCs w:val="14"/>
            <w:rtl w:val="1"/>
            <w:u w:val="single"/>
          </w:rPr>
          <w:t>sayd-magazine.com</w:t>
        </w:r>
      </w:hyperlink>
      <w:r>
        <w:rPr>
          <w:rFonts w:ascii="Arial" w:hAnsi="Arial" w:cs="Arial"/>
          <w:b w:val="0"/>
          <w:color w:val="5E6864"/>
          <w:sz w:val="14"/>
          <w:rtl w:val="1"/>
        </w:rPr>
        <w:t xml:space="preserve">     SPNL: الحِمى والبرامج الميدانية  •  </w:t>
      </w:r>
      <w:hyperlink r:id="rId12">
        <w:r>
          <w:rPr>
            <w:color w:val="1F5B4D"/>
            <w:sz w:val="14"/>
            <w:szCs w:val="14"/>
            <w:rtl w:val="1"/>
            <w:u w:val="single"/>
          </w:rPr>
          <w:t>spnl.org</w:t>
        </w:r>
      </w:hyperlink>
      <w:r>
        <w:rPr>
          <w:rFonts w:ascii="Arial" w:hAnsi="Arial" w:cs="Arial"/>
          <w:b w:val="0"/>
          <w:color w:val="5E6864"/>
          <w:sz w:val="14"/>
          <w:rtl w:val="1"/>
        </w:rPr>
        <w:t xml:space="preserve">     CMS/MIKT: التنسيق ومكافحة القتل غير القانوني  •  </w:t>
      </w:r>
      <w:hyperlink r:id="rId13">
        <w:r>
          <w:rPr>
            <w:color w:val="1F5B4D"/>
            <w:sz w:val="14"/>
            <w:szCs w:val="14"/>
            <w:rtl w:val="1"/>
            <w:u w:val="single"/>
          </w:rPr>
          <w:t>cms.int/taskforce/mikt</w:t>
        </w:r>
      </w:hyperlink>
    </w:p>
    <w:p>
      <w:pPr>
        <w:bidi w:val="1"/>
        <w:spacing w:before="20" w:after="0" w:line="252" w:lineRule="auto"/>
        <w:jc w:val="right"/>
      </w:pPr>
      <w:r>
        <w:rPr>
          <w:rFonts w:ascii="Arial" w:hAnsi="Arial" w:cs="Arial"/>
          <w:b w:val="0"/>
          <w:color w:val="8C3A2A"/>
          <w:sz w:val="14"/>
          <w:rtl w:val="1"/>
        </w:rPr>
        <w:t>ملاحظة: الأرقام التشغيلية أهداف مقترحة للاعتماد بعد تحديد الفريق والميزانية، وليست نتائج محققة أو وعودًا للجهات المانحة.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52" w:right="765" w:bottom="652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187"/>
      <w:gridCol w:w="5187"/>
    </w:tblGrid>
    <w:tr>
      <w:tc>
        <w:tcPr>
          <w:tcW w:type="dxa" w:w="5187"/>
          <w:tcBorders>
            <w:top w:val="single" w:sz="6" w:color="D8D2C3"/>
          </w:tcBorders>
          <w:tcMar>
            <w:top w:w="55" w:type="dxa"/>
            <w:start w:w="0" w:type="dxa"/>
            <w:bottom w:w="20" w:type="dxa"/>
            <w:end w:w="0" w:type="dxa"/>
          </w:tcMar>
        </w:tcPr>
        <w:p>
          <w:pPr>
            <w:spacing w:before="0" w:after="0" w:line="240" w:lineRule="auto"/>
            <w:jc w:val="left"/>
          </w:pPr>
          <w:r>
            <w:rPr>
              <w:rFonts w:ascii="Arial" w:hAnsi="Arial"/>
              <w:color w:val="5E6864"/>
              <w:sz w:val="14"/>
            </w:rPr>
            <w:t xml:space="preserve">PAGE </w:t>
          </w:r>
          <w:fldSimple w:instr="PAGE"/>
          <w:r>
            <w:rPr>
              <w:rFonts w:ascii="Arial" w:hAnsi="Arial"/>
              <w:color w:val="5E6864"/>
              <w:sz w:val="14"/>
            </w:rPr>
            <w:t xml:space="preserve"> / 3</w:t>
          </w:r>
        </w:p>
      </w:tc>
      <w:tc>
        <w:tcPr>
          <w:tcW w:type="dxa" w:w="5187"/>
          <w:tcBorders>
            <w:top w:val="single" w:sz="6" w:color="D8D2C3"/>
          </w:tcBorders>
          <w:tcMar>
            <w:top w:w="55" w:type="dxa"/>
            <w:start w:w="0" w:type="dxa"/>
            <w:bottom w:w="20" w:type="dxa"/>
            <w:end w:w="0" w:type="dxa"/>
          </w:tcMar>
        </w:tcPr>
        <w:p>
          <w:pPr>
            <w:bidi w:val="1"/>
            <w:spacing w:before="0" w:after="0" w:line="240" w:lineRule="auto"/>
            <w:jc w:val="right"/>
          </w:pPr>
          <w:r>
            <w:rPr>
              <w:rFonts w:ascii="Arial" w:hAnsi="Arial" w:cs="Arial"/>
              <w:b w:val="0"/>
              <w:color w:val="5E6864"/>
              <w:sz w:val="14"/>
              <w:rtl w:val="1"/>
            </w:rPr>
            <w:t>منصة تحريرية للصيد المسؤول والطبيعة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187"/>
      <w:gridCol w:w="5187"/>
    </w:tblGrid>
    <w:tr>
      <w:tc>
        <w:tcPr>
          <w:tcW w:type="dxa" w:w="5187"/>
          <w:tcBorders>
            <w:bottom w:val="single" w:sz="6" w:color="D8D2C3"/>
          </w:tcBorders>
          <w:tcMar>
            <w:top w:w="25" w:type="dxa"/>
            <w:start w:w="0" w:type="dxa"/>
            <w:bottom w:w="45" w:type="dxa"/>
            <w:end w:w="0" w:type="dxa"/>
          </w:tcMar>
        </w:tcPr>
        <w:p>
          <w:pPr>
            <w:bidi w:val="1"/>
            <w:spacing w:before="0" w:after="0" w:line="240" w:lineRule="auto"/>
            <w:jc w:val="left"/>
          </w:pPr>
          <w:r>
            <w:rPr>
              <w:rFonts w:ascii="Arial" w:hAnsi="Arial" w:cs="Arial"/>
              <w:b w:val="0"/>
              <w:color w:val="5E6864"/>
              <w:sz w:val="13"/>
              <w:rtl w:val="1"/>
            </w:rPr>
            <w:t>استراتيجية التطوير 2026–2027  •  نسخة للمراجعة</w:t>
          </w:r>
        </w:p>
      </w:tc>
      <w:tc>
        <w:tcPr>
          <w:tcW w:type="dxa" w:w="5187"/>
          <w:tcBorders>
            <w:bottom w:val="single" w:sz="6" w:color="D8D2C3"/>
          </w:tcBorders>
          <w:tcMar>
            <w:top w:w="25" w:type="dxa"/>
            <w:start w:w="0" w:type="dxa"/>
            <w:bottom w:w="45" w:type="dxa"/>
            <w:end w:w="0" w:type="dxa"/>
          </w:tcMar>
        </w:tcPr>
        <w:p>
          <w:pPr>
            <w:bidi w:val="1"/>
            <w:spacing w:before="0" w:after="0" w:line="240" w:lineRule="auto"/>
            <w:jc w:val="right"/>
          </w:pPr>
          <w:r>
            <w:rPr>
              <w:rFonts w:ascii="Arial" w:hAnsi="Arial" w:cs="Arial"/>
              <w:b/>
              <w:color w:val="1F5B4D"/>
              <w:sz w:val="16"/>
              <w:rtl w:val="1"/>
            </w:rPr>
            <w:t>صيد  |  SAYD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ayd-magazine.com" TargetMode="External"/><Relationship Id="rId12" Type="http://schemas.openxmlformats.org/officeDocument/2006/relationships/hyperlink" Target="https://www.spnl.org" TargetMode="External"/><Relationship Id="rId13" Type="http://schemas.openxmlformats.org/officeDocument/2006/relationships/hyperlink" Target="https://www.cms.int/taskforce/mik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