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exact" w:line="240"/>
      </w:pPr>
      <w:r>
        <w:rPr>
          <w:rFonts w:ascii="Aptos" w:hAnsi="Aptos" w:eastAsia="Microsoft JhengHei"/>
          <w:b/>
          <w:i w:val="0"/>
          <w:color w:val="0B6B53"/>
          <w:sz w:val="16"/>
          <w:spacing w:val="22"/>
        </w:rPr>
        <w:t>UNIPLUS EDUCATION · KOC FINAL ROUND</w:t>
      </w:r>
    </w:p>
    <w:p>
      <w:pPr>
        <w:spacing w:before="0" w:after="40" w:lineRule="exact" w:line="520"/>
      </w:pPr>
      <w:r>
        <w:rPr>
          <w:rFonts w:ascii="Georgia" w:hAnsi="Georgia" w:eastAsia="Microsoft JhengHei"/>
          <w:b w:val="0"/>
          <w:i w:val="0"/>
          <w:color w:val="16211D"/>
          <w:sz w:val="42"/>
        </w:rPr>
        <w:t>Interactive Tool — Planning Sheet</w:t>
      </w:r>
    </w:p>
    <w:p>
      <w:pPr>
        <w:spacing w:before="0" w:after="200" w:lineRule="exact" w:line="260"/>
      </w:pPr>
      <w:r>
        <w:rPr>
          <w:rFonts w:ascii="Aptos" w:hAnsi="Aptos" w:eastAsia="Microsoft JhengHei"/>
          <w:b w:val="0"/>
          <w:i w:val="0"/>
          <w:color w:val="5E6B65"/>
          <w:sz w:val="18"/>
        </w:rPr>
        <w:t>Topic: Similarity · S2 JM17  |  10 minutes  |  Fill this in before you open Cursor, and hand it in with your HTML file.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0" w:type="dxa"/>
              <w:left w:w="0" w:type="dxa"/>
              <w:bottom w:w="40" w:type="dxa"/>
              <w:right w:w="140" w:type="dxa"/>
            </w:tcMar>
          </w:tcPr>
          <w:p>
            <w:pPr>
              <w:spacing w:before="0" w:after="0" w:lineRule="exact" w:line="340"/>
              <w:pBdr>
                <w:bottom w:val="single" w:sz="6" w:space="2" w:color="C9C4B8"/>
              </w:pBdr>
            </w:pPr>
            <w:r>
              <w:rPr>
                <w:rFonts w:ascii="Aptos" w:hAnsi="Aptos" w:eastAsia="Microsoft JhengHei"/>
                <w:b/>
                <w:i w:val="0"/>
                <w:color w:val="5E6B65"/>
                <w:sz w:val="18"/>
              </w:rPr>
              <w:t xml:space="preserve">Name  姓名  </w:t>
            </w:r>
            <w:r>
              <w:rPr>
                <w:rFonts w:ascii="Aptos" w:hAnsi="Aptos" w:eastAsia="Microsoft JhengHei"/>
                <w:b w:val="0"/>
                <w:i w:val="0"/>
                <w:color w:val="5E6B65"/>
                <w:sz w:val="18"/>
              </w:rPr>
              <w:t xml:space="preserve">                                        </w:t>
            </w:r>
          </w:p>
        </w:tc>
        <w:tc>
          <w:tcPr>
            <w:tcW w:type="dxa" w:w="4989"/>
            <w:tcMar>
              <w:top w:w="0" w:type="dxa"/>
              <w:left w:w="0" w:type="dxa"/>
              <w:bottom w:w="40" w:type="dxa"/>
              <w:right w:w="140" w:type="dxa"/>
            </w:tcMar>
          </w:tcPr>
          <w:p>
            <w:pPr>
              <w:spacing w:before="0" w:after="0" w:lineRule="exact" w:line="340"/>
              <w:pBdr>
                <w:bottom w:val="single" w:sz="6" w:space="2" w:color="C9C4B8"/>
              </w:pBdr>
            </w:pPr>
            <w:r>
              <w:rPr>
                <w:rFonts w:ascii="Aptos" w:hAnsi="Aptos" w:eastAsia="Microsoft JhengHei"/>
                <w:b/>
                <w:i w:val="0"/>
                <w:color w:val="5E6B65"/>
                <w:sz w:val="18"/>
              </w:rPr>
              <w:t xml:space="preserve">Date  日期  </w:t>
            </w:r>
            <w:r>
              <w:rPr>
                <w:rFonts w:ascii="Aptos" w:hAnsi="Aptos" w:eastAsia="Microsoft JhengHei"/>
                <w:b w:val="0"/>
                <w:i w:val="0"/>
                <w:color w:val="5E6B65"/>
                <w:sz w:val="18"/>
              </w:rPr>
              <w:t xml:space="preserve">                                        </w:t>
            </w:r>
          </w:p>
        </w:tc>
      </w:tr>
    </w:tbl>
    <w:p>
      <w:pPr>
        <w:spacing w:before="0" w:after="0" w:lineRule="exact" w:line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6CC"/>
          <w:left w:val="single" w:sz="8" w:space="0" w:color="D9D6CC"/>
          <w:bottom w:val="single" w:sz="8" w:space="0" w:color="D9D6CC"/>
          <w:right w:val="single" w:sz="8" w:space="0" w:color="D9D6CC"/>
          <w:insideH w:val="none"/>
          <w:insideV w:val="none"/>
        </w:tblBorders>
      </w:tblPr>
      <w:tblGrid>
        <w:gridCol w:w="9978"/>
      </w:tblGrid>
      <w:tr>
        <w:tc>
          <w:tcPr>
            <w:tcW w:type="dxa" w:w="997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 w:lineRule="exact" w:line="300"/>
            </w:pPr>
            <w:r>
              <w:rPr>
                <w:rFonts w:ascii="Aptos" w:hAnsi="Aptos" w:eastAsia="Microsoft JhengHei"/>
                <w:b/>
                <w:i w:val="0"/>
                <w:color w:val="0B6B53"/>
                <w:sz w:val="22"/>
              </w:rPr>
              <w:t xml:space="preserve">1 · </w:t>
            </w:r>
            <w:r>
              <w:rPr>
                <w:rFonts w:ascii="Aptos" w:hAnsi="Aptos" w:eastAsia="Microsoft JhengHei"/>
                <w:b/>
                <w:i w:val="0"/>
                <w:color w:val="16211D"/>
                <w:sz w:val="22"/>
              </w:rPr>
              <w:t>The idea of the tool</w:t>
            </w:r>
          </w:p>
          <w:p>
            <w:pPr>
              <w:spacing w:before="0" w:after="60" w:lineRule="exact" w:line="280"/>
            </w:pPr>
            <w:r>
              <w:rPr>
                <w:rFonts w:ascii="Aptos" w:hAnsi="Aptos" w:eastAsia="Microsoft JhengHei"/>
                <w:b/>
                <w:i w:val="0"/>
                <w:color w:val="0B6B53"/>
                <w:sz w:val="18"/>
              </w:rPr>
              <w:t>工具的構思</w:t>
            </w:r>
          </w:p>
          <w:p>
            <w:pPr>
              <w:spacing w:before="0" w:after="160" w:lineRule="exact" w:line="240"/>
            </w:pPr>
            <w:r>
              <w:rPr>
                <w:rFonts w:ascii="Aptos" w:hAnsi="Aptos" w:eastAsia="Microsoft JhengHei"/>
                <w:b w:val="0"/>
                <w:i/>
                <w:color w:val="5E6B65"/>
                <w:sz w:val="17"/>
              </w:rPr>
              <w:t>Summarise it in two or three sentences. What does the student see, and what do they actually do? “The student drags…”, “the student picks…”, “then the tool…”.</w:t>
            </w: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2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</w:tc>
      </w:tr>
    </w:tbl>
    <w:p>
      <w:pPr>
        <w:spacing w:before="0" w:after="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6CC"/>
          <w:left w:val="single" w:sz="8" w:space="0" w:color="D9D6CC"/>
          <w:bottom w:val="single" w:sz="8" w:space="0" w:color="D9D6CC"/>
          <w:right w:val="single" w:sz="8" w:space="0" w:color="D9D6CC"/>
          <w:insideH w:val="none"/>
          <w:insideV w:val="none"/>
        </w:tblBorders>
      </w:tblPr>
      <w:tblGrid>
        <w:gridCol w:w="9978"/>
      </w:tblGrid>
      <w:tr>
        <w:tc>
          <w:tcPr>
            <w:tcW w:type="dxa" w:w="997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 w:lineRule="exact" w:line="300"/>
            </w:pPr>
            <w:r>
              <w:rPr>
                <w:rFonts w:ascii="Aptos" w:hAnsi="Aptos" w:eastAsia="Microsoft JhengHei"/>
                <w:b/>
                <w:i w:val="0"/>
                <w:color w:val="0B6B53"/>
                <w:sz w:val="22"/>
              </w:rPr>
              <w:t xml:space="preserve">2 · </w:t>
            </w:r>
            <w:r>
              <w:rPr>
                <w:rFonts w:ascii="Aptos" w:hAnsi="Aptos" w:eastAsia="Microsoft JhengHei"/>
                <w:b/>
                <w:i w:val="0"/>
                <w:color w:val="16211D"/>
                <w:sz w:val="22"/>
              </w:rPr>
              <w:t>What result do you want this tool to achieve?</w:t>
            </w:r>
          </w:p>
          <w:p>
            <w:pPr>
              <w:spacing w:before="0" w:after="60" w:lineRule="exact" w:line="280"/>
            </w:pPr>
            <w:r>
              <w:rPr>
                <w:rFonts w:ascii="Aptos" w:hAnsi="Aptos" w:eastAsia="Microsoft JhengHei"/>
                <w:b/>
                <w:i w:val="0"/>
                <w:color w:val="0B6B53"/>
                <w:sz w:val="18"/>
              </w:rPr>
              <w:t>你想這個工具達到什麼結果？</w:t>
            </w:r>
          </w:p>
          <w:p>
            <w:pPr>
              <w:spacing w:before="0" w:after="160" w:lineRule="exact" w:line="240"/>
            </w:pPr>
            <w:r>
              <w:rPr>
                <w:rFonts w:ascii="Aptos" w:hAnsi="Aptos" w:eastAsia="Microsoft JhengHei"/>
                <w:b w:val="0"/>
                <w:i/>
                <w:color w:val="5E6B65"/>
                <w:sz w:val="17"/>
              </w:rPr>
              <w:t>One specific thing about similarity — not “understand similarity better”. Finish the sentence, then say how you would know a student had got there.</w:t>
            </w: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  <w:r>
              <w:rPr>
                <w:rFonts w:ascii="Georgia" w:hAnsi="Georgia" w:eastAsia="Microsoft JhengHei"/>
                <w:b w:val="0"/>
                <w:i w:val="0"/>
                <w:color w:val="16211D"/>
                <w:sz w:val="21"/>
              </w:rPr>
              <w:t>After using this tool, a student can</w:t>
            </w: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2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</w:tc>
      </w:tr>
    </w:tbl>
    <w:p>
      <w:pPr>
        <w:spacing w:before="0" w:after="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6CC"/>
          <w:left w:val="single" w:sz="8" w:space="0" w:color="D9D6CC"/>
          <w:bottom w:val="single" w:sz="8" w:space="0" w:color="D9D6CC"/>
          <w:right w:val="single" w:sz="8" w:space="0" w:color="D9D6CC"/>
          <w:insideH w:val="none"/>
          <w:insideV w:val="none"/>
        </w:tblBorders>
      </w:tblPr>
      <w:tblGrid>
        <w:gridCol w:w="9978"/>
      </w:tblGrid>
      <w:tr>
        <w:tc>
          <w:tcPr>
            <w:tcW w:type="dxa" w:w="997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 w:lineRule="exact" w:line="300"/>
            </w:pPr>
            <w:r>
              <w:rPr>
                <w:rFonts w:ascii="Aptos" w:hAnsi="Aptos" w:eastAsia="Microsoft JhengHei"/>
                <w:b/>
                <w:i w:val="0"/>
                <w:color w:val="0B6B53"/>
                <w:sz w:val="22"/>
              </w:rPr>
              <w:t xml:space="preserve">3 · </w:t>
            </w:r>
            <w:r>
              <w:rPr>
                <w:rFonts w:ascii="Aptos" w:hAnsi="Aptos" w:eastAsia="Microsoft JhengHei"/>
                <w:b/>
                <w:i w:val="0"/>
                <w:color w:val="16211D"/>
                <w:sz w:val="22"/>
              </w:rPr>
              <w:t>How is this better than teaching with pen and paper?</w:t>
            </w:r>
          </w:p>
          <w:p>
            <w:pPr>
              <w:spacing w:before="0" w:after="60" w:lineRule="exact" w:line="280"/>
            </w:pPr>
            <w:r>
              <w:rPr>
                <w:rFonts w:ascii="Aptos" w:hAnsi="Aptos" w:eastAsia="Microsoft JhengHei"/>
                <w:b/>
                <w:i w:val="0"/>
                <w:color w:val="0B6B53"/>
                <w:sz w:val="18"/>
              </w:rPr>
              <w:t>這樣比用紙筆教好在哪裡？</w:t>
            </w:r>
          </w:p>
          <w:p>
            <w:pPr>
              <w:spacing w:before="0" w:after="160" w:lineRule="exact" w:line="240"/>
            </w:pPr>
            <w:r>
              <w:rPr>
                <w:rFonts w:ascii="Aptos" w:hAnsi="Aptos" w:eastAsia="Microsoft JhengHei"/>
                <w:b w:val="0"/>
                <w:i/>
                <w:color w:val="5E6B65"/>
                <w:sz w:val="17"/>
              </w:rPr>
              <w:t>Name the one thing your tool does that a teacher with a whiteboard cannot do as well, and why that matters for this topic. “The same, but on a screen” is not an answer.</w:t>
            </w: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2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</w:tc>
      </w:tr>
    </w:tbl>
    <w:p>
      <w:pPr>
        <w:spacing w:before="0" w:after="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9CF"/>
          <w:left w:val="single" w:sz="8" w:space="0" w:color="CBD9CF"/>
          <w:bottom w:val="single" w:sz="8" w:space="0" w:color="CBD9CF"/>
          <w:right w:val="single" w:sz="8" w:space="0" w:color="CBD9CF"/>
          <w:insideH w:val="none"/>
          <w:insideV w:val="none"/>
        </w:tblBorders>
      </w:tblPr>
      <w:tblGrid>
        <w:gridCol w:w="9978"/>
      </w:tblGrid>
      <w:tr>
        <w:tc>
          <w:tcPr>
            <w:tcW w:type="dxa" w:w="9978"/>
            <w:shd w:val="clear" w:color="auto" w:fill="F1F5E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Rule="exact" w:line="260"/>
            </w:pPr>
            <w:r>
              <w:rPr>
                <w:rFonts w:ascii="Aptos" w:hAnsi="Aptos" w:eastAsia="Microsoft JhengHei"/>
                <w:b/>
                <w:i w:val="0"/>
                <w:color w:val="0B6B53"/>
                <w:sz w:val="17"/>
              </w:rPr>
              <w:t xml:space="preserve">Before you hand this in:  </w:t>
            </w:r>
            <w:r>
              <w:rPr>
                <w:rFonts w:ascii="Aptos" w:hAnsi="Aptos" w:eastAsia="Microsoft JhengHei"/>
                <w:b w:val="0"/>
                <w:i w:val="0"/>
                <w:color w:val="5E6B65"/>
                <w:sz w:val="17"/>
              </w:rPr>
              <w:t>the idea fits in 50 minutes  ·  the student has to commit to an answer  ·  the tool says why an answer is wrong  ·  the mathematics matches the JM17 note</w:t>
            </w:r>
          </w:p>
        </w:tc>
      </w:tr>
    </w:tbl>
    <w:sectPr w:rsidR="00FC693F" w:rsidRPr="0006063C" w:rsidSect="00034616">
      <w:pgSz w:w="11906" w:h="16838"/>
      <w:pgMar w:top="737" w:right="964" w:bottom="68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6211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