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0562D"/>
          <w:sz w:val="56"/>
        </w:rPr>
        <w:t>PARTNERSHIP TIER COMPARISON</w:t>
      </w:r>
    </w:p>
    <w:p>
      <w:pPr>
        <w:jc w:val="center"/>
      </w:pPr>
      <w:r>
        <w:rPr>
          <w:color w:val="221E1F"/>
          <w:sz w:val="28"/>
        </w:rPr>
        <w:t>Beacon of New Beginnings</w:t>
      </w:r>
    </w:p>
    <w:p>
      <w:pPr>
        <w:spacing w:before="120"/>
      </w:pPr>
      <w:r>
        <w:t>________________________________________________________________________________</w:t>
      </w:r>
    </w:p>
    <w:p>
      <w:r>
        <w:t>Quick reference table comparing all four partnership tiers across key dimensions.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0562D"/>
          </w:tcPr>
          <w:p>
            <w:r>
              <w:rPr>
                <w:b/>
                <w:color w:val="F0562D"/>
              </w:rPr>
              <w:t>Aspect</w:t>
            </w:r>
          </w:p>
        </w:tc>
        <w:tc>
          <w:tcPr>
            <w:tcW w:type="dxa" w:w="1728"/>
            <w:shd w:fill="F0562D"/>
          </w:tcPr>
          <w:p>
            <w:r>
              <w:rPr>
                <w:b/>
                <w:color w:val="F0562D"/>
              </w:rPr>
              <w:t>BRONZE</w:t>
            </w:r>
          </w:p>
        </w:tc>
        <w:tc>
          <w:tcPr>
            <w:tcW w:type="dxa" w:w="1728"/>
            <w:shd w:fill="F0562D"/>
          </w:tcPr>
          <w:p>
            <w:r>
              <w:rPr>
                <w:b/>
                <w:color w:val="F0562D"/>
              </w:rPr>
              <w:t>SILVER</w:t>
            </w:r>
          </w:p>
        </w:tc>
        <w:tc>
          <w:tcPr>
            <w:tcW w:type="dxa" w:w="1728"/>
            <w:shd w:fill="F0562D"/>
          </w:tcPr>
          <w:p>
            <w:r>
              <w:rPr>
                <w:b/>
                <w:color w:val="F0562D"/>
              </w:rPr>
              <w:t>GOLD</w:t>
            </w:r>
          </w:p>
        </w:tc>
        <w:tc>
          <w:tcPr>
            <w:tcW w:type="dxa" w:w="1728"/>
            <w:shd w:fill="F0562D"/>
          </w:tcPr>
          <w:p>
            <w:r>
              <w:rPr>
                <w:b/>
                <w:color w:val="F0562D"/>
              </w:rPr>
              <w:t>PLATINUM</w:t>
            </w:r>
          </w:p>
        </w:tc>
      </w:tr>
      <w:tr>
        <w:tc>
          <w:tcPr>
            <w:tcW w:type="dxa" w:w="1728"/>
            <w:shd w:fill="C6DEAD"/>
          </w:tcPr>
          <w:p>
            <w:r>
              <w:t>Investment</w:t>
            </w:r>
          </w:p>
        </w:tc>
        <w:tc>
          <w:tcPr>
            <w:tcW w:type="dxa" w:w="1728"/>
          </w:tcPr>
          <w:p>
            <w:r>
              <w:t>GHS 10-25K</w:t>
            </w:r>
          </w:p>
        </w:tc>
        <w:tc>
          <w:tcPr>
            <w:tcW w:type="dxa" w:w="1728"/>
          </w:tcPr>
          <w:p>
            <w:r>
              <w:t>GHS 25-75K</w:t>
            </w:r>
          </w:p>
        </w:tc>
        <w:tc>
          <w:tcPr>
            <w:tcW w:type="dxa" w:w="1728"/>
          </w:tcPr>
          <w:p>
            <w:r>
              <w:t>GHS 75-250K</w:t>
            </w:r>
          </w:p>
        </w:tc>
        <w:tc>
          <w:tcPr>
            <w:tcW w:type="dxa" w:w="1728"/>
          </w:tcPr>
          <w:p>
            <w:r>
              <w:t>GHS 250K+</w:t>
            </w:r>
          </w:p>
        </w:tc>
      </w:tr>
      <w:tr>
        <w:tc>
          <w:tcPr>
            <w:tcW w:type="dxa" w:w="1728"/>
            <w:shd w:fill="C6DEAD"/>
          </w:tcPr>
          <w:p>
            <w:r>
              <w:t>Duration</w:t>
            </w:r>
          </w:p>
        </w:tc>
        <w:tc>
          <w:tcPr>
            <w:tcW w:type="dxa" w:w="1728"/>
          </w:tcPr>
          <w:p>
            <w:r>
              <w:t>1 year</w:t>
            </w:r>
          </w:p>
        </w:tc>
        <w:tc>
          <w:tcPr>
            <w:tcW w:type="dxa" w:w="1728"/>
          </w:tcPr>
          <w:p>
            <w:r>
              <w:t>1-2 years</w:t>
            </w:r>
          </w:p>
        </w:tc>
        <w:tc>
          <w:tcPr>
            <w:tcW w:type="dxa" w:w="1728"/>
          </w:tcPr>
          <w:p>
            <w:r>
              <w:t>2-3 years</w:t>
            </w:r>
          </w:p>
        </w:tc>
        <w:tc>
          <w:tcPr>
            <w:tcW w:type="dxa" w:w="1728"/>
          </w:tcPr>
          <w:p>
            <w:r>
              <w:t>3-5 years</w:t>
            </w:r>
          </w:p>
        </w:tc>
      </w:tr>
      <w:tr>
        <w:tc>
          <w:tcPr>
            <w:tcW w:type="dxa" w:w="1728"/>
            <w:shd w:fill="C6DEAD"/>
          </w:tcPr>
          <w:p>
            <w:r>
              <w:t>Best For</w:t>
            </w:r>
          </w:p>
        </w:tc>
        <w:tc>
          <w:tcPr>
            <w:tcW w:type="dxa" w:w="1728"/>
          </w:tcPr>
          <w:p>
            <w:r>
              <w:t>SMEs, NGOs</w:t>
            </w:r>
          </w:p>
        </w:tc>
        <w:tc>
          <w:tcPr>
            <w:tcW w:type="dxa" w:w="1728"/>
          </w:tcPr>
          <w:p>
            <w:r>
              <w:t>Mid-market</w:t>
            </w:r>
          </w:p>
        </w:tc>
        <w:tc>
          <w:tcPr>
            <w:tcW w:type="dxa" w:w="1728"/>
          </w:tcPr>
          <w:p>
            <w:r>
              <w:t>Large corps</w:t>
            </w:r>
          </w:p>
        </w:tc>
        <w:tc>
          <w:tcPr>
            <w:tcW w:type="dxa" w:w="1728"/>
          </w:tcPr>
          <w:p>
            <w:r>
              <w:t>Major orgs</w:t>
            </w:r>
          </w:p>
        </w:tc>
      </w:tr>
      <w:tr>
        <w:tc>
          <w:tcPr>
            <w:tcW w:type="dxa" w:w="1728"/>
            <w:shd w:fill="C6DEAD"/>
          </w:tcPr>
          <w:p>
            <w:r>
              <w:t>Logo &amp; Recognition</w:t>
            </w:r>
          </w:p>
        </w:tc>
        <w:tc>
          <w:tcPr>
            <w:tcW w:type="dxa" w:w="1728"/>
          </w:tcPr>
          <w:p>
            <w:r>
              <w:t>Website, social</w:t>
            </w:r>
          </w:p>
        </w:tc>
        <w:tc>
          <w:tcPr>
            <w:tcW w:type="dxa" w:w="1728"/>
          </w:tcPr>
          <w:p>
            <w:r>
              <w:t>✓ + press</w:t>
            </w:r>
          </w:p>
        </w:tc>
        <w:tc>
          <w:tcPr>
            <w:tcW w:type="dxa" w:w="1728"/>
          </w:tcPr>
          <w:p>
            <w:r>
              <w:t>✓ + speaking</w:t>
            </w:r>
          </w:p>
        </w:tc>
        <w:tc>
          <w:tcPr>
            <w:tcW w:type="dxa" w:w="1728"/>
          </w:tcPr>
          <w:p>
            <w:r>
              <w:t>✓ + VIP</w:t>
            </w:r>
          </w:p>
        </w:tc>
      </w:tr>
      <w:tr>
        <w:tc>
          <w:tcPr>
            <w:tcW w:type="dxa" w:w="1728"/>
            <w:shd w:fill="C6DEAD"/>
          </w:tcPr>
          <w:p>
            <w:r>
              <w:t>Reporting</w:t>
            </w:r>
          </w:p>
        </w:tc>
        <w:tc>
          <w:tcPr>
            <w:tcW w:type="dxa" w:w="1728"/>
          </w:tcPr>
          <w:p>
            <w:r>
              <w:t>Quarterly email</w:t>
            </w:r>
          </w:p>
        </w:tc>
        <w:tc>
          <w:tcPr>
            <w:tcW w:type="dxa" w:w="1728"/>
          </w:tcPr>
          <w:p>
            <w:r>
              <w:t>Quarterly reports</w:t>
            </w:r>
          </w:p>
        </w:tc>
        <w:tc>
          <w:tcPr>
            <w:tcW w:type="dxa" w:w="1728"/>
          </w:tcPr>
          <w:p>
            <w:r>
              <w:t>Detailed quarterly + annual retreat</w:t>
            </w:r>
          </w:p>
        </w:tc>
        <w:tc>
          <w:tcPr>
            <w:tcW w:type="dxa" w:w="1728"/>
          </w:tcPr>
          <w:p>
            <w:r>
              <w:t>Monthly + quarterly + annual retreat</w:t>
            </w:r>
          </w:p>
        </w:tc>
      </w:tr>
      <w:tr>
        <w:tc>
          <w:tcPr>
            <w:tcW w:type="dxa" w:w="1728"/>
            <w:shd w:fill="C6DEAD"/>
          </w:tcPr>
          <w:p>
            <w:r>
              <w:t>Engagement</w:t>
            </w:r>
          </w:p>
        </w:tc>
        <w:tc>
          <w:tcPr>
            <w:tcW w:type="dxa" w:w="1728"/>
          </w:tcPr>
          <w:p>
            <w:r>
              <w:t>Available PM</w:t>
            </w:r>
          </w:p>
        </w:tc>
        <w:tc>
          <w:tcPr>
            <w:tcW w:type="dxa" w:w="1728"/>
          </w:tcPr>
          <w:p>
            <w:r>
              <w:t>Dedicated PM</w:t>
            </w:r>
          </w:p>
        </w:tc>
        <w:tc>
          <w:tcPr>
            <w:tcW w:type="dxa" w:w="1728"/>
          </w:tcPr>
          <w:p>
            <w:r>
              <w:t>Senior PM + advisory option</w:t>
            </w:r>
          </w:p>
        </w:tc>
        <w:tc>
          <w:tcPr>
            <w:tcW w:type="dxa" w:w="1728"/>
          </w:tcPr>
          <w:p>
            <w:r>
              <w:t>Senior PM + board seat</w:t>
            </w:r>
          </w:p>
        </w:tc>
      </w:tr>
      <w:tr>
        <w:tc>
          <w:tcPr>
            <w:tcW w:type="dxa" w:w="1728"/>
            <w:shd w:fill="C6DEAD"/>
          </w:tcPr>
          <w:p>
            <w:r>
              <w:t>Programs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Co-branded campaigns</w:t>
            </w:r>
          </w:p>
        </w:tc>
        <w:tc>
          <w:tcPr>
            <w:tcW w:type="dxa" w:w="1728"/>
          </w:tcPr>
          <w:p>
            <w:r>
              <w:t>Custom programs</w:t>
            </w:r>
          </w:p>
        </w:tc>
        <w:tc>
          <w:tcPr>
            <w:tcW w:type="dxa" w:w="1728"/>
          </w:tcPr>
          <w:p>
            <w:r>
              <w:t>Joint strategy &amp; development</w:t>
            </w:r>
          </w:p>
        </w:tc>
      </w:tr>
      <w:tr>
        <w:tc>
          <w:tcPr>
            <w:tcW w:type="dxa" w:w="1728"/>
            <w:shd w:fill="C6DEAD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Annual invite</w:t>
            </w:r>
          </w:p>
        </w:tc>
        <w:tc>
          <w:tcPr>
            <w:tcW w:type="dxa" w:w="1728"/>
          </w:tcPr>
          <w:p>
            <w:r>
              <w:t>2-3 major events</w:t>
            </w:r>
          </w:p>
        </w:tc>
        <w:tc>
          <w:tcPr>
            <w:tcW w:type="dxa" w:w="1728"/>
          </w:tcPr>
          <w:p>
            <w:r>
              <w:t>3-5 major events</w:t>
            </w:r>
          </w:p>
        </w:tc>
        <w:tc>
          <w:tcPr>
            <w:tcW w:type="dxa" w:w="1728"/>
          </w:tcPr>
          <w:p>
            <w:r>
              <w:t>ALL major events + VIP</w:t>
            </w:r>
          </w:p>
        </w:tc>
      </w:tr>
      <w:tr>
        <w:tc>
          <w:tcPr>
            <w:tcW w:type="dxa" w:w="1728"/>
            <w:shd w:fill="C6DEAD"/>
          </w:tcPr>
          <w:p>
            <w:r>
              <w:t>Strategic Input</w:t>
            </w:r>
          </w:p>
        </w:tc>
        <w:tc>
          <w:tcPr>
            <w:tcW w:type="dxa" w:w="1728"/>
          </w:tcPr>
          <w:p>
            <w:r>
              <w:t>Feedback</w:t>
            </w:r>
          </w:p>
        </w:tc>
        <w:tc>
          <w:tcPr>
            <w:tcW w:type="dxa" w:w="1728"/>
          </w:tcPr>
          <w:p>
            <w:r>
              <w:t>Quarterly meetings</w:t>
            </w:r>
          </w:p>
        </w:tc>
        <w:tc>
          <w:tcPr>
            <w:tcW w:type="dxa" w:w="1728"/>
          </w:tcPr>
          <w:p>
            <w:r>
              <w:t>Advisory role option</w:t>
            </w:r>
          </w:p>
        </w:tc>
        <w:tc>
          <w:tcPr>
            <w:tcW w:type="dxa" w:w="1728"/>
          </w:tcPr>
          <w:p>
            <w:r>
              <w:t>Board seat</w:t>
            </w:r>
          </w:p>
        </w:tc>
      </w:tr>
      <w:tr>
        <w:tc>
          <w:tcPr>
            <w:tcW w:type="dxa" w:w="1728"/>
            <w:shd w:fill="C6DEAD"/>
          </w:tcPr>
          <w:p>
            <w:r>
              <w:t>Annual Cost to Prospect</w:t>
            </w:r>
          </w:p>
        </w:tc>
        <w:tc>
          <w:tcPr>
            <w:tcW w:type="dxa" w:w="1728"/>
          </w:tcPr>
          <w:p>
            <w:r>
              <w:t>GHS 10-25K</w:t>
            </w:r>
          </w:p>
        </w:tc>
        <w:tc>
          <w:tcPr>
            <w:tcW w:type="dxa" w:w="1728"/>
          </w:tcPr>
          <w:p>
            <w:r>
              <w:t>GHS 25-75K</w:t>
            </w:r>
          </w:p>
        </w:tc>
        <w:tc>
          <w:tcPr>
            <w:tcW w:type="dxa" w:w="1728"/>
          </w:tcPr>
          <w:p>
            <w:r>
              <w:t>GHS 75-250K</w:t>
            </w:r>
          </w:p>
        </w:tc>
        <w:tc>
          <w:tcPr>
            <w:tcW w:type="dxa" w:w="1728"/>
          </w:tcPr>
          <w:p>
            <w:r>
              <w:t>GHS 250K+</w:t>
            </w:r>
          </w:p>
        </w:tc>
      </w:tr>
    </w:tbl>
    <w:p/>
    <w:p>
      <w:pPr>
        <w:pStyle w:val="Heading2"/>
      </w:pPr>
      <w:r>
        <w:t>Partnership Positioning Guide</w:t>
      </w:r>
    </w:p>
    <w:p/>
    <w:p>
      <w:r>
        <w:rPr>
          <w:b/>
        </w:rPr>
        <w:t>BRONZE Partnerships:</w:t>
      </w:r>
    </w:p>
    <w:p>
      <w:pPr>
        <w:pStyle w:val="ListBullet"/>
      </w:pPr>
      <w:r>
        <w:t>Best for companies just starting their DV/women safety initiatives or with limited CSR budgets. Entry-level positioning that builds relationships for future upgrades.</w:t>
      </w:r>
    </w:p>
    <w:p>
      <w:r>
        <w:rPr>
          <w:b/>
        </w:rPr>
        <w:t>SILVER Partnerships:</w:t>
      </w:r>
    </w:p>
    <w:p>
      <w:pPr>
        <w:pStyle w:val="ListBullet"/>
      </w:pPr>
      <w:r>
        <w:t>Target most mid-market companies and successful SMEs. Strong value for money with co-branded initiatives and dedicated engagement. Highest volume target for partnerships.</w:t>
      </w:r>
    </w:p>
    <w:p>
      <w:r>
        <w:rPr>
          <w:b/>
        </w:rPr>
        <w:t>GOLD Partnerships:</w:t>
      </w:r>
    </w:p>
    <w:p>
      <w:pPr>
        <w:pStyle w:val="ListBullet"/>
      </w:pPr>
      <w:r>
        <w:t>For large corporations, sector leaders, and major NGOs with significant CSR budgets and transformation intentions. Deep integration with custom programs.</w:t>
      </w:r>
    </w:p>
    <w:p>
      <w:r>
        <w:rPr>
          <w:b/>
        </w:rPr>
        <w:t>PLATINUM Partnerships:</w:t>
      </w:r>
    </w:p>
    <w:p>
      <w:pPr>
        <w:pStyle w:val="ListBullet"/>
      </w:pPr>
      <w:r>
        <w:t>Only for major corporations, government agencies, foundations, and international donors. Board-level integration, multi-year commitment, transformational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